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686F60" w14:paraId="4ECCAA0E" w14:textId="77777777" w:rsidTr="00AF0F7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ECCAA09" w14:textId="77777777" w:rsidR="006E6AD5" w:rsidRPr="00686F60" w:rsidRDefault="00F01089" w:rsidP="00AF0F7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&lt;</w:t>
            </w:r>
            <w:r w:rsidR="006E6AD5"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4ECCAA0A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3360" behindDoc="1" locked="1" layoutInCell="1" allowOverlap="1" wp14:anchorId="4ECCAA64" wp14:editId="4ECCAA6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4ECCAA0B" w14:textId="77777777" w:rsidR="0025213D" w:rsidRPr="00686F60" w:rsidRDefault="0025213D" w:rsidP="0025213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686F6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4ECCAA0C" w14:textId="77777777" w:rsidR="006E6AD5" w:rsidRPr="00686F60" w:rsidRDefault="0025213D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mai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–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juin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 xml:space="preserve"> 2023, Genève</w:t>
            </w:r>
          </w:p>
        </w:tc>
        <w:tc>
          <w:tcPr>
            <w:tcW w:w="2962" w:type="dxa"/>
          </w:tcPr>
          <w:p w14:paraId="4ECCAA0D" w14:textId="77777777" w:rsidR="006E6AD5" w:rsidRPr="00686F60" w:rsidRDefault="006E6AD5" w:rsidP="00AF0F7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proofErr w:type="spellStart"/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g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-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19</w:t>
            </w:r>
            <w:proofErr w:type="spellEnd"/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F01089">
              <w:rPr>
                <w:rFonts w:cs="Tahoma"/>
                <w:b/>
                <w:bCs/>
                <w:color w:val="365F91" w:themeColor="accent1" w:themeShade="BF"/>
                <w:szCs w:val="22"/>
              </w:rPr>
              <w:t>4.4(3)</w:t>
            </w:r>
          </w:p>
        </w:tc>
      </w:tr>
      <w:tr w:rsidR="006E6AD5" w:rsidRPr="00686F60" w14:paraId="4ECCAA14" w14:textId="77777777" w:rsidTr="00AF0F74">
        <w:trPr>
          <w:trHeight w:val="730"/>
        </w:trPr>
        <w:tc>
          <w:tcPr>
            <w:tcW w:w="500" w:type="dxa"/>
            <w:vMerge/>
          </w:tcPr>
          <w:p w14:paraId="4ECCAA0F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ECCAA10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4ECCAA11" w14:textId="3D750B75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color w:val="365F91" w:themeColor="accent1" w:themeShade="BF"/>
                <w:szCs w:val="22"/>
              </w:rPr>
              <w:t xml:space="preserve">Présenté </w:t>
            </w:r>
            <w:proofErr w:type="gramStart"/>
            <w:r w:rsidRPr="00686F60">
              <w:rPr>
                <w:rFonts w:cs="Tahoma"/>
                <w:color w:val="365F91" w:themeColor="accent1" w:themeShade="BF"/>
                <w:szCs w:val="22"/>
              </w:rPr>
              <w:t>par:</w:t>
            </w:r>
            <w:proofErr w:type="gramEnd"/>
            <w:r w:rsidR="00095D7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F01089">
              <w:rPr>
                <w:rFonts w:cs="Tahoma"/>
                <w:color w:val="365F91" w:themeColor="accent1" w:themeShade="BF"/>
                <w:szCs w:val="22"/>
              </w:rPr>
              <w:t>Secrétaire général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4ECCAA12" w14:textId="77777777" w:rsidR="006E6AD5" w:rsidRPr="00686F60" w:rsidRDefault="00D75882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19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IV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25213D" w:rsidRPr="00686F60">
              <w:rPr>
                <w:rFonts w:cs="Tahoma"/>
                <w:color w:val="365F91" w:themeColor="accent1" w:themeShade="BF"/>
                <w:szCs w:val="22"/>
              </w:rPr>
              <w:t>3</w:t>
            </w:r>
            <w:proofErr w:type="spellEnd"/>
          </w:p>
          <w:p w14:paraId="4ECCAA13" w14:textId="77777777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1</w:t>
            </w:r>
          </w:p>
        </w:tc>
      </w:tr>
    </w:tbl>
    <w:p w14:paraId="4ECCAA15" w14:textId="1B38CEDF" w:rsidR="00D75882" w:rsidRPr="00ED693D" w:rsidRDefault="00656232" w:rsidP="00D7588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DD1B2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D75882">
        <w:rPr>
          <w:b/>
          <w:bCs/>
          <w:lang w:val="fr-FR"/>
        </w:rPr>
        <w:t>Stratégies techniques à l</w:t>
      </w:r>
      <w:r w:rsidR="00DD1B2A">
        <w:rPr>
          <w:b/>
          <w:bCs/>
          <w:lang w:val="fr-FR"/>
        </w:rPr>
        <w:t>’</w:t>
      </w:r>
      <w:r w:rsidR="00D75882">
        <w:rPr>
          <w:b/>
          <w:bCs/>
          <w:lang w:val="fr-FR"/>
        </w:rPr>
        <w:t>appui des buts à long terme</w:t>
      </w:r>
    </w:p>
    <w:p w14:paraId="4ECCAA16" w14:textId="568DFF5D" w:rsidR="00656232" w:rsidRPr="00686F60" w:rsidRDefault="00656232" w:rsidP="00D75882">
      <w:pPr>
        <w:pStyle w:val="WMOBodyText"/>
        <w:ind w:left="4536" w:hanging="4536"/>
        <w:rPr>
          <w:b/>
          <w:bCs/>
          <w:i/>
          <w:iCs/>
          <w:lang w:val="fr-FR"/>
        </w:rPr>
      </w:pPr>
      <w:r w:rsidRPr="00686F60">
        <w:rPr>
          <w:b/>
          <w:bCs/>
          <w:lang w:val="fr-FR"/>
        </w:rPr>
        <w:t>POINT 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D75882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DD1B2A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 xml:space="preserve">ORDRE DU </w:t>
      </w:r>
      <w:proofErr w:type="gramStart"/>
      <w:r w:rsidRPr="00686F60">
        <w:rPr>
          <w:b/>
          <w:bCs/>
          <w:lang w:val="fr-FR"/>
        </w:rPr>
        <w:t>JOUR:</w:t>
      </w:r>
      <w:proofErr w:type="gramEnd"/>
      <w:r w:rsidRPr="00686F60">
        <w:rPr>
          <w:b/>
          <w:bCs/>
          <w:lang w:val="fr-FR"/>
        </w:rPr>
        <w:tab/>
      </w:r>
      <w:r w:rsidR="00D75882">
        <w:rPr>
          <w:b/>
          <w:bCs/>
          <w:lang w:val="fr-FR"/>
        </w:rPr>
        <w:t>Développement des capacités</w:t>
      </w:r>
      <w:r w:rsidR="00D75882" w:rsidRPr="00686F60">
        <w:rPr>
          <w:b/>
          <w:bCs/>
          <w:lang w:val="fr-FR"/>
        </w:rPr>
        <w:t xml:space="preserve"> </w:t>
      </w:r>
    </w:p>
    <w:p w14:paraId="4ECCAA17" w14:textId="26F3893B" w:rsidR="00656232" w:rsidRPr="007F690C" w:rsidRDefault="00F45EDA" w:rsidP="007F690C">
      <w:pPr>
        <w:pStyle w:val="Heading1"/>
        <w:rPr>
          <w:caps w:val="0"/>
          <w:lang w:val="fr-FR"/>
        </w:rPr>
      </w:pPr>
      <w:r w:rsidRPr="00D75882">
        <w:rPr>
          <w:caps w:val="0"/>
          <w:lang w:val="fr-FR"/>
        </w:rPr>
        <w:t>AUTRES QUESTIONS RELATIVES AU DÉVELOPPEMENT DES CAPACITÉS</w:t>
      </w:r>
    </w:p>
    <w:p w14:paraId="4ECCAA18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14:paraId="4ECCAA1A" w14:textId="77777777" w:rsidTr="00E01776">
        <w:trPr>
          <w:jc w:val="center"/>
        </w:trPr>
        <w:tc>
          <w:tcPr>
            <w:tcW w:w="9684" w:type="dxa"/>
          </w:tcPr>
          <w:p w14:paraId="4ECCAA19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4ECCAA22" w14:textId="77777777" w:rsidTr="00E01776">
        <w:trPr>
          <w:jc w:val="center"/>
        </w:trPr>
        <w:tc>
          <w:tcPr>
            <w:tcW w:w="9684" w:type="dxa"/>
          </w:tcPr>
          <w:p w14:paraId="4ECCAA1B" w14:textId="64E3E091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 xml:space="preserve">Document présenté </w:t>
            </w:r>
            <w:proofErr w:type="gramStart"/>
            <w:r w:rsidRPr="00686F60">
              <w:rPr>
                <w:b/>
                <w:bCs/>
                <w:lang w:val="fr-FR"/>
              </w:rPr>
              <w:t>par:</w:t>
            </w:r>
            <w:proofErr w:type="gramEnd"/>
            <w:r w:rsidR="00095D7D">
              <w:rPr>
                <w:b/>
                <w:bCs/>
                <w:lang w:val="fr-FR"/>
              </w:rPr>
              <w:t xml:space="preserve"> </w:t>
            </w:r>
            <w:r w:rsidR="00095D7D" w:rsidRPr="00DF7D9E">
              <w:rPr>
                <w:lang w:val="fr-FR"/>
              </w:rPr>
              <w:t xml:space="preserve">Le </w:t>
            </w:r>
            <w:r w:rsidR="00D75882" w:rsidRPr="00DF7D9E">
              <w:rPr>
                <w:lang w:val="fr-FR"/>
              </w:rPr>
              <w:t>Secrétaire général</w:t>
            </w:r>
          </w:p>
          <w:p w14:paraId="4ECCAA1C" w14:textId="7B0875B0" w:rsidR="0025213D" w:rsidRPr="002B7AA2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</w:t>
            </w:r>
            <w:r w:rsidR="00D75882">
              <w:rPr>
                <w:b/>
                <w:bCs/>
                <w:lang w:val="fr-FR"/>
              </w:rPr>
              <w:t>s</w:t>
            </w:r>
            <w:r w:rsidRPr="00686F60">
              <w:rPr>
                <w:b/>
                <w:bCs/>
                <w:lang w:val="fr-FR"/>
              </w:rPr>
              <w:t xml:space="preserve"> stratégique</w:t>
            </w:r>
            <w:r w:rsidR="00D75882">
              <w:rPr>
                <w:b/>
                <w:bCs/>
                <w:lang w:val="fr-FR"/>
              </w:rPr>
              <w:t>s</w:t>
            </w:r>
            <w:r w:rsidRPr="00686F60">
              <w:rPr>
                <w:b/>
                <w:bCs/>
                <w:lang w:val="fr-FR"/>
              </w:rPr>
              <w:t xml:space="preserve"> 2020-</w:t>
            </w:r>
            <w:proofErr w:type="gramStart"/>
            <w:r w:rsidRPr="00686F60">
              <w:rPr>
                <w:b/>
                <w:bCs/>
                <w:lang w:val="fr-FR"/>
              </w:rPr>
              <w:t>2023:</w:t>
            </w:r>
            <w:proofErr w:type="gramEnd"/>
            <w:r w:rsidR="00D75882">
              <w:rPr>
                <w:b/>
                <w:bCs/>
                <w:lang w:val="fr-FR"/>
              </w:rPr>
              <w:t> </w:t>
            </w:r>
            <w:r w:rsidR="00D75882">
              <w:rPr>
                <w:lang w:val="fr-FR"/>
              </w:rPr>
              <w:t xml:space="preserve">But à long terme 1 </w:t>
            </w:r>
            <w:r w:rsidR="00095D7D">
              <w:rPr>
                <w:lang w:val="fr-FR"/>
              </w:rPr>
              <w:t>–</w:t>
            </w:r>
            <w:r w:rsidR="00D75882">
              <w:rPr>
                <w:lang w:val="fr-FR"/>
              </w:rPr>
              <w:t xml:space="preserve"> Mieux répondre aux besoins de la société; but à long terme 2 </w:t>
            </w:r>
            <w:r w:rsidR="00095D7D">
              <w:rPr>
                <w:lang w:val="fr-FR"/>
              </w:rPr>
              <w:t>–</w:t>
            </w:r>
            <w:r w:rsidR="00D75882">
              <w:rPr>
                <w:lang w:val="fr-FR"/>
              </w:rPr>
              <w:t xml:space="preserve"> Améliorer les observations et les prévisions relatives au système terrestre, et but à long terme 4 </w:t>
            </w:r>
            <w:r w:rsidR="00095D7D">
              <w:rPr>
                <w:lang w:val="fr-FR"/>
              </w:rPr>
              <w:t>–</w:t>
            </w:r>
            <w:r w:rsidR="00D75882">
              <w:rPr>
                <w:lang w:val="fr-FR"/>
              </w:rPr>
              <w:t xml:space="preserve"> Réduire l</w:t>
            </w:r>
            <w:r w:rsidR="00DD1B2A">
              <w:rPr>
                <w:lang w:val="fr-FR"/>
              </w:rPr>
              <w:t>’</w:t>
            </w:r>
            <w:r w:rsidR="00D75882">
              <w:rPr>
                <w:lang w:val="fr-FR"/>
              </w:rPr>
              <w:t>écart de capacité sur le plan des services météorologiques, climatiques et hydrologiques</w:t>
            </w:r>
          </w:p>
          <w:p w14:paraId="4ECCAA1D" w14:textId="7F065311" w:rsidR="0025213D" w:rsidRPr="00D75882" w:rsidRDefault="0025213D" w:rsidP="00D75882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 xml:space="preserve">Incidences financières et </w:t>
            </w:r>
            <w:proofErr w:type="gramStart"/>
            <w:r w:rsidRPr="00686F60">
              <w:rPr>
                <w:b/>
                <w:bCs/>
                <w:lang w:val="fr-FR"/>
              </w:rPr>
              <w:t>administratives:</w:t>
            </w:r>
            <w:proofErr w:type="gramEnd"/>
            <w:r w:rsidR="00D75882">
              <w:rPr>
                <w:b/>
                <w:bCs/>
                <w:lang w:val="fr-FR"/>
              </w:rPr>
              <w:t> </w:t>
            </w:r>
            <w:r w:rsidR="00D75882">
              <w:rPr>
                <w:lang w:val="fr-FR"/>
              </w:rPr>
              <w:t xml:space="preserve">Dans les limites prévues </w:t>
            </w:r>
            <w:r w:rsidR="009E2D40">
              <w:rPr>
                <w:lang w:val="fr-FR"/>
              </w:rPr>
              <w:t xml:space="preserve">dans </w:t>
            </w:r>
            <w:r w:rsidR="00D75882">
              <w:rPr>
                <w:lang w:val="fr-FR"/>
              </w:rPr>
              <w:t>le Plan stratégique et le Plan opérationnel 2023-2027</w:t>
            </w:r>
          </w:p>
          <w:p w14:paraId="4ECCAA1E" w14:textId="203B05ED" w:rsidR="0025213D" w:rsidRPr="00D75882" w:rsidRDefault="0025213D" w:rsidP="00D75882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 xml:space="preserve">Principaux responsables de la mise en </w:t>
            </w:r>
            <w:proofErr w:type="gramStart"/>
            <w:r w:rsidRPr="00686F60">
              <w:rPr>
                <w:b/>
                <w:bCs/>
                <w:lang w:val="fr-FR"/>
              </w:rPr>
              <w:t>œuvre:</w:t>
            </w:r>
            <w:proofErr w:type="gramEnd"/>
            <w:r w:rsidR="00D75882">
              <w:rPr>
                <w:b/>
                <w:bCs/>
                <w:lang w:val="fr-FR"/>
              </w:rPr>
              <w:t> </w:t>
            </w:r>
            <w:r w:rsidR="00D75882">
              <w:rPr>
                <w:lang w:val="fr-FR"/>
              </w:rPr>
              <w:t>Les Membres, en collaboration avec le Groupe d</w:t>
            </w:r>
            <w:r w:rsidR="00DD1B2A">
              <w:rPr>
                <w:lang w:val="fr-FR"/>
              </w:rPr>
              <w:t>’</w:t>
            </w:r>
            <w:r w:rsidR="00D75882">
              <w:rPr>
                <w:lang w:val="fr-FR"/>
              </w:rPr>
              <w:t>experts du Conseil exécutif pour le développement des capacités (EC-CDP) et le Secrétariat de l</w:t>
            </w:r>
            <w:r w:rsidR="00DD1B2A">
              <w:rPr>
                <w:lang w:val="fr-FR"/>
              </w:rPr>
              <w:t>’</w:t>
            </w:r>
            <w:r w:rsidR="00D75882">
              <w:rPr>
                <w:lang w:val="fr-FR"/>
              </w:rPr>
              <w:t>OMM</w:t>
            </w:r>
          </w:p>
          <w:p w14:paraId="4ECCAA1F" w14:textId="77777777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proofErr w:type="gramStart"/>
            <w:r w:rsidRPr="00686F60">
              <w:rPr>
                <w:b/>
                <w:bCs/>
                <w:lang w:val="fr-FR"/>
              </w:rPr>
              <w:t>Calendrier:</w:t>
            </w:r>
            <w:proofErr w:type="gramEnd"/>
            <w:r w:rsidR="002B7AA2">
              <w:rPr>
                <w:lang w:val="fr-FR"/>
              </w:rPr>
              <w:tab/>
            </w:r>
            <w:r w:rsidR="00D75882">
              <w:rPr>
                <w:lang w:val="fr-FR"/>
              </w:rPr>
              <w:t>2023-2027</w:t>
            </w:r>
          </w:p>
          <w:p w14:paraId="4ECCAA20" w14:textId="77777777" w:rsidR="0025213D" w:rsidRPr="00686F60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 xml:space="preserve">Mesure </w:t>
            </w:r>
            <w:proofErr w:type="gramStart"/>
            <w:r w:rsidRPr="00686F60">
              <w:rPr>
                <w:b/>
                <w:bCs/>
                <w:lang w:val="fr-FR"/>
              </w:rPr>
              <w:t>attendue:</w:t>
            </w:r>
            <w:proofErr w:type="gramEnd"/>
            <w:r w:rsidR="002B7AA2">
              <w:rPr>
                <w:b/>
                <w:bCs/>
                <w:lang w:val="fr-FR"/>
              </w:rPr>
              <w:tab/>
            </w:r>
            <w:r w:rsidR="00D75882">
              <w:rPr>
                <w:lang w:val="fr-FR"/>
              </w:rPr>
              <w:t>Adopter le projet de résolution 4.4(3)/1 (</w:t>
            </w:r>
            <w:proofErr w:type="spellStart"/>
            <w:r w:rsidR="00D75882">
              <w:rPr>
                <w:lang w:val="fr-FR"/>
              </w:rPr>
              <w:t>Cg-19</w:t>
            </w:r>
            <w:proofErr w:type="spellEnd"/>
            <w:r w:rsidR="00D75882">
              <w:rPr>
                <w:lang w:val="fr-FR"/>
              </w:rPr>
              <w:t>)</w:t>
            </w:r>
          </w:p>
          <w:p w14:paraId="4ECCAA21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4ECCAA23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4ECCAA24" w14:textId="77777777" w:rsidR="00656232" w:rsidRPr="00686F60" w:rsidRDefault="00656232" w:rsidP="0065623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86F60">
        <w:br w:type="page"/>
      </w:r>
    </w:p>
    <w:p w14:paraId="4ECCAA25" w14:textId="77777777" w:rsidR="0093479B" w:rsidRPr="0093479B" w:rsidRDefault="0093479B" w:rsidP="00DF7D9E">
      <w:pPr>
        <w:keepNext/>
        <w:keepLines/>
        <w:tabs>
          <w:tab w:val="clear" w:pos="1134"/>
        </w:tabs>
        <w:spacing w:before="360" w:after="360"/>
        <w:jc w:val="center"/>
        <w:outlineLvl w:val="0"/>
        <w:rPr>
          <w:rFonts w:eastAsia="Verdana" w:cs="Verdana"/>
          <w:b/>
          <w:bCs/>
          <w:kern w:val="32"/>
          <w:sz w:val="24"/>
          <w:szCs w:val="24"/>
          <w:lang w:eastAsia="zh-TW"/>
        </w:rPr>
      </w:pPr>
      <w:r w:rsidRPr="0093479B">
        <w:rPr>
          <w:rFonts w:eastAsia="Verdana" w:cs="Verdana"/>
          <w:b/>
          <w:bCs/>
          <w:kern w:val="32"/>
          <w:sz w:val="24"/>
          <w:szCs w:val="24"/>
          <w:lang w:eastAsia="zh-TW"/>
        </w:rPr>
        <w:lastRenderedPageBreak/>
        <w:t>CONSIDÉRATIONS GÉNÉRALES</w:t>
      </w:r>
    </w:p>
    <w:p w14:paraId="4ECCAA26" w14:textId="06A26F68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lang w:eastAsia="zh-TW"/>
        </w:rPr>
      </w:pPr>
      <w:r w:rsidRPr="0093479B">
        <w:rPr>
          <w:rFonts w:eastAsia="Verdana" w:cs="Verdana"/>
          <w:lang w:eastAsia="zh-TW"/>
        </w:rPr>
        <w:t>Le développement des capacités est un élément clé du programme et des activités de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OMM</w:t>
      </w:r>
      <w:r w:rsidR="00D919BE">
        <w:rPr>
          <w:rFonts w:eastAsia="Verdana" w:cs="Verdana"/>
          <w:lang w:eastAsia="zh-TW"/>
        </w:rPr>
        <w:t>.</w:t>
      </w:r>
      <w:r w:rsidRPr="0093479B">
        <w:rPr>
          <w:rFonts w:eastAsia="Verdana" w:cs="Verdana"/>
          <w:lang w:eastAsia="zh-TW"/>
        </w:rPr>
        <w:t xml:space="preserve"> </w:t>
      </w:r>
      <w:r w:rsidR="00D919BE">
        <w:rPr>
          <w:rFonts w:eastAsia="Verdana" w:cs="Verdana"/>
          <w:lang w:eastAsia="zh-TW"/>
        </w:rPr>
        <w:t xml:space="preserve">Il </w:t>
      </w:r>
      <w:r w:rsidRPr="0093479B">
        <w:rPr>
          <w:rFonts w:eastAsia="Verdana" w:cs="Verdana"/>
          <w:lang w:eastAsia="zh-TW"/>
        </w:rPr>
        <w:t>permet d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apporter un soutien aux Membres qui en ont besoin et de promouvoir la collaboration.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 xml:space="preserve">OMM aborde les questions et les activités liées au développement des capacités sous les angles </w:t>
      </w:r>
      <w:proofErr w:type="gramStart"/>
      <w:r w:rsidRPr="0093479B">
        <w:rPr>
          <w:rFonts w:eastAsia="Verdana" w:cs="Verdana"/>
          <w:lang w:eastAsia="zh-TW"/>
        </w:rPr>
        <w:t>suivants:</w:t>
      </w:r>
      <w:proofErr w:type="gramEnd"/>
      <w:r w:rsidRPr="0093479B">
        <w:rPr>
          <w:rFonts w:eastAsia="Verdana" w:cs="Verdana"/>
          <w:lang w:eastAsia="zh-TW"/>
        </w:rPr>
        <w:t xml:space="preserve"> a)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>élaboration et mise en œuvre de politiques, b)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>développement et maintien des compétences nécessaires des ressources humaines et du savoir-faire scientifique, c)</w:t>
      </w:r>
      <w:r w:rsidR="00195D2D">
        <w:rPr>
          <w:rFonts w:eastAsia="Verdana" w:cs="Verdana"/>
          <w:lang w:eastAsia="zh-TW"/>
        </w:rPr>
        <w:t> </w:t>
      </w:r>
      <w:r w:rsidR="005075BD">
        <w:rPr>
          <w:rFonts w:eastAsia="Verdana" w:cs="Verdana"/>
          <w:lang w:eastAsia="zh-TW"/>
        </w:rPr>
        <w:t>mise en place</w:t>
      </w:r>
      <w:r w:rsidRPr="0093479B">
        <w:rPr>
          <w:rFonts w:eastAsia="Verdana" w:cs="Verdana"/>
          <w:lang w:eastAsia="zh-TW"/>
        </w:rPr>
        <w:t xml:space="preserve"> et entretien des infrastructures nécessaires à la fourniture de services adéquats, et d)</w:t>
      </w:r>
      <w:r w:rsidR="00195D2D">
        <w:rPr>
          <w:rFonts w:eastAsia="Verdana" w:cs="Verdana"/>
          <w:lang w:eastAsia="zh-TW"/>
        </w:rPr>
        <w:t> </w:t>
      </w:r>
      <w:r w:rsidRPr="0093479B">
        <w:rPr>
          <w:rFonts w:eastAsia="Verdana" w:cs="Verdana"/>
          <w:lang w:eastAsia="zh-TW"/>
        </w:rPr>
        <w:t xml:space="preserve">coopération au moyen de la mobilisation des ressources et des projets </w:t>
      </w:r>
      <w:r w:rsidR="00683BE0">
        <w:rPr>
          <w:rFonts w:eastAsia="Verdana" w:cs="Verdana"/>
          <w:lang w:eastAsia="zh-TW"/>
        </w:rPr>
        <w:t xml:space="preserve">à caractère </w:t>
      </w:r>
      <w:r w:rsidRPr="0093479B">
        <w:rPr>
          <w:rFonts w:eastAsia="Verdana" w:cs="Verdana"/>
          <w:lang w:eastAsia="zh-TW"/>
        </w:rPr>
        <w:t xml:space="preserve">volontaire. </w:t>
      </w:r>
    </w:p>
    <w:p w14:paraId="4ECCAA27" w14:textId="4C584C27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lang w:eastAsia="zh-TW"/>
        </w:rPr>
      </w:pPr>
      <w:r w:rsidRPr="00143ADE">
        <w:rPr>
          <w:rFonts w:eastAsia="Verdana" w:cs="Verdana"/>
          <w:lang w:eastAsia="zh-TW"/>
        </w:rPr>
        <w:t>Étant donné que le développement des capacités concerne tous les programmes de l</w:t>
      </w:r>
      <w:r w:rsidR="00DD1B2A">
        <w:rPr>
          <w:rFonts w:eastAsia="Verdana" w:cs="Verdana"/>
          <w:lang w:eastAsia="zh-TW"/>
        </w:rPr>
        <w:t>’</w:t>
      </w:r>
      <w:r w:rsidRPr="00143ADE">
        <w:rPr>
          <w:rFonts w:eastAsia="Verdana" w:cs="Verdana"/>
          <w:lang w:eastAsia="zh-TW"/>
        </w:rPr>
        <w:t>OMM, le présent document n</w:t>
      </w:r>
      <w:r w:rsidR="00DD1B2A">
        <w:rPr>
          <w:rFonts w:eastAsia="Verdana" w:cs="Verdana"/>
          <w:lang w:eastAsia="zh-TW"/>
        </w:rPr>
        <w:t>’</w:t>
      </w:r>
      <w:r w:rsidRPr="00143ADE">
        <w:rPr>
          <w:rFonts w:eastAsia="Verdana" w:cs="Verdana"/>
          <w:lang w:eastAsia="zh-TW"/>
        </w:rPr>
        <w:t xml:space="preserve">aborde que certains aspects des initiatives et des activités de développement des capacités de manière intégrée. Dans cette optique, </w:t>
      </w:r>
      <w:r w:rsidR="004F68BF" w:rsidRPr="00143ADE">
        <w:rPr>
          <w:rFonts w:eastAsia="Verdana" w:cs="Verdana"/>
          <w:lang w:eastAsia="zh-TW"/>
        </w:rPr>
        <w:t>il</w:t>
      </w:r>
      <w:r w:rsidRPr="00143ADE">
        <w:rPr>
          <w:rFonts w:eastAsia="Verdana" w:cs="Verdana"/>
          <w:lang w:eastAsia="zh-TW"/>
        </w:rPr>
        <w:t xml:space="preserve"> contient des recommandations à destination des Membres, du Secrétaire général, des commissions techniques, du Conseil de la recherche et</w:t>
      </w:r>
      <w:r w:rsidRPr="0093479B">
        <w:rPr>
          <w:rFonts w:eastAsia="Verdana" w:cs="Verdana"/>
          <w:lang w:eastAsia="zh-TW"/>
        </w:rPr>
        <w:t xml:space="preserve"> du Groupe de coordination hydrologique sur les mesures et les activités souhaitables pour renforcer la capacité des Membres à faire face aux défis liés au temps, au climat et à l</w:t>
      </w:r>
      <w:r w:rsidR="00DD1B2A">
        <w:rPr>
          <w:rFonts w:eastAsia="Verdana" w:cs="Verdana"/>
          <w:lang w:eastAsia="zh-TW"/>
        </w:rPr>
        <w:t>’</w:t>
      </w:r>
      <w:r w:rsidRPr="0093479B">
        <w:rPr>
          <w:rFonts w:eastAsia="Verdana" w:cs="Verdana"/>
          <w:lang w:eastAsia="zh-TW"/>
        </w:rPr>
        <w:t>eau, en particulier dans la perspective de l</w:t>
      </w:r>
      <w:r w:rsidR="00DD1B2A">
        <w:rPr>
          <w:rFonts w:eastAsia="Verdana" w:cs="Verdana"/>
          <w:lang w:eastAsia="zh-TW"/>
        </w:rPr>
        <w:t>’</w:t>
      </w:r>
      <w:r w:rsidR="00143ADE">
        <w:rPr>
          <w:rFonts w:eastAsia="Verdana" w:cs="Verdana"/>
          <w:lang w:eastAsia="zh-TW"/>
        </w:rPr>
        <w:t>I</w:t>
      </w:r>
      <w:r w:rsidRPr="0093479B">
        <w:rPr>
          <w:rFonts w:eastAsia="Verdana" w:cs="Verdana"/>
          <w:lang w:eastAsia="zh-TW"/>
        </w:rPr>
        <w:t>nitiative</w:t>
      </w:r>
      <w:r>
        <w:rPr>
          <w:rFonts w:eastAsia="Verdana" w:cs="Verdana"/>
          <w:lang w:eastAsia="zh-TW"/>
        </w:rPr>
        <w:t xml:space="preserve"> </w:t>
      </w:r>
      <w:r w:rsidR="00143ADE">
        <w:rPr>
          <w:rFonts w:eastAsia="Verdana" w:cs="Verdana"/>
          <w:lang w:eastAsia="zh-TW"/>
        </w:rPr>
        <w:t>en faveur d</w:t>
      </w:r>
      <w:r w:rsidR="00DD1B2A">
        <w:rPr>
          <w:rFonts w:eastAsia="Verdana" w:cs="Verdana"/>
          <w:lang w:eastAsia="zh-TW"/>
        </w:rPr>
        <w:t>’</w:t>
      </w:r>
      <w:r w:rsidR="00143ADE">
        <w:rPr>
          <w:rFonts w:eastAsia="Verdana" w:cs="Verdana"/>
          <w:lang w:eastAsia="zh-TW"/>
        </w:rPr>
        <w:t>a</w:t>
      </w:r>
      <w:r w:rsidRPr="0093479B">
        <w:rPr>
          <w:rFonts w:eastAsia="Verdana" w:cs="Verdana"/>
          <w:lang w:eastAsia="zh-TW"/>
        </w:rPr>
        <w:t>lertes précoces pour tous.</w:t>
      </w:r>
    </w:p>
    <w:p w14:paraId="4ECCAA28" w14:textId="77777777" w:rsidR="0093479B" w:rsidRPr="0093479B" w:rsidRDefault="0093479B" w:rsidP="0093479B">
      <w:pPr>
        <w:tabs>
          <w:tab w:val="clear" w:pos="1134"/>
          <w:tab w:val="left" w:pos="567"/>
        </w:tabs>
        <w:spacing w:before="240"/>
        <w:jc w:val="left"/>
        <w:rPr>
          <w:rFonts w:eastAsia="Verdana" w:cs="Verdana"/>
          <w:b/>
          <w:bCs/>
          <w:lang w:eastAsia="zh-TW"/>
        </w:rPr>
      </w:pPr>
      <w:r w:rsidRPr="0093479B">
        <w:rPr>
          <w:rFonts w:eastAsia="Verdana" w:cs="Verdana"/>
          <w:b/>
          <w:bCs/>
          <w:lang w:eastAsia="zh-TW"/>
        </w:rPr>
        <w:t>Mesure attendue</w:t>
      </w:r>
    </w:p>
    <w:p w14:paraId="4ECCAA29" w14:textId="02A9B39D" w:rsidR="0093479B" w:rsidRDefault="0093479B" w:rsidP="0093479B">
      <w:pPr>
        <w:spacing w:before="240"/>
        <w:jc w:val="left"/>
        <w:rPr>
          <w:rFonts w:eastAsia="Verdana" w:cs="Verdana"/>
          <w:lang w:eastAsia="zh-TW"/>
        </w:rPr>
      </w:pPr>
      <w:bookmarkStart w:id="0" w:name="_Ref108012355"/>
      <w:r w:rsidRPr="0093479B">
        <w:rPr>
          <w:rFonts w:eastAsia="Verdana" w:cs="Verdana"/>
          <w:lang w:eastAsia="zh-TW"/>
        </w:rPr>
        <w:t xml:space="preserve">Compte tenu de ce qui précède, le Conseil </w:t>
      </w:r>
      <w:r w:rsidR="00352568">
        <w:rPr>
          <w:rFonts w:eastAsia="Verdana" w:cs="Verdana"/>
          <w:lang w:eastAsia="zh-TW"/>
        </w:rPr>
        <w:t xml:space="preserve">est invité à </w:t>
      </w:r>
      <w:r w:rsidRPr="0093479B">
        <w:rPr>
          <w:rFonts w:eastAsia="Verdana" w:cs="Verdana"/>
          <w:lang w:eastAsia="zh-TW"/>
        </w:rPr>
        <w:t>adopter le projet de résolution 4.4(</w:t>
      </w:r>
      <w:proofErr w:type="gramStart"/>
      <w:r w:rsidRPr="0093479B">
        <w:rPr>
          <w:rFonts w:eastAsia="Verdana" w:cs="Verdana"/>
          <w:lang w:eastAsia="zh-TW"/>
        </w:rPr>
        <w:t>3)/</w:t>
      </w:r>
      <w:proofErr w:type="gramEnd"/>
      <w:r w:rsidRPr="0093479B">
        <w:rPr>
          <w:rFonts w:eastAsia="Verdana" w:cs="Verdana"/>
          <w:lang w:eastAsia="zh-TW"/>
        </w:rPr>
        <w:t>1.</w:t>
      </w:r>
      <w:bookmarkEnd w:id="0"/>
    </w:p>
    <w:p w14:paraId="2F68575F" w14:textId="77777777" w:rsidR="00DD1B2A" w:rsidRDefault="00DD1B2A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b/>
          <w:bCs/>
          <w:iCs/>
        </w:rPr>
        <w:br w:type="page"/>
      </w:r>
    </w:p>
    <w:p w14:paraId="4ECCAA37" w14:textId="60797AC9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lastRenderedPageBreak/>
        <w:t xml:space="preserve">Projet de résolution </w:t>
      </w:r>
      <w:r w:rsidR="0093479B">
        <w:rPr>
          <w:lang w:val="fr-FR"/>
        </w:rPr>
        <w:t>4.4(</w:t>
      </w:r>
      <w:proofErr w:type="gramStart"/>
      <w:r w:rsidR="0093479B">
        <w:rPr>
          <w:lang w:val="fr-FR"/>
        </w:rPr>
        <w:t>3)/</w:t>
      </w:r>
      <w:proofErr w:type="gramEnd"/>
      <w:r w:rsidR="0093479B">
        <w:rPr>
          <w:lang w:val="fr-FR"/>
        </w:rPr>
        <w:t>1 (</w:t>
      </w:r>
      <w:proofErr w:type="spellStart"/>
      <w:r w:rsidR="0093479B">
        <w:rPr>
          <w:lang w:val="fr-FR"/>
        </w:rPr>
        <w:t>Cg-19</w:t>
      </w:r>
      <w:proofErr w:type="spellEnd"/>
      <w:r w:rsidR="0093479B">
        <w:rPr>
          <w:lang w:val="fr-FR"/>
        </w:rPr>
        <w:t>)</w:t>
      </w:r>
    </w:p>
    <w:p w14:paraId="4ECCAA38" w14:textId="77777777" w:rsidR="0093479B" w:rsidRPr="005D59DE" w:rsidRDefault="0093479B" w:rsidP="0093479B">
      <w:pPr>
        <w:pStyle w:val="Heading2"/>
        <w:rPr>
          <w:lang w:val="fr-FR"/>
        </w:rPr>
      </w:pPr>
      <w:r>
        <w:rPr>
          <w:lang w:val="fr-FR"/>
        </w:rPr>
        <w:t>Autres questions relatives au développement des capacités</w:t>
      </w:r>
    </w:p>
    <w:p w14:paraId="4ECCAA3A" w14:textId="77777777" w:rsidR="00656232" w:rsidRPr="00686F60" w:rsidRDefault="00A7554B" w:rsidP="00656232">
      <w:pPr>
        <w:pStyle w:val="WMOBodyText"/>
        <w:rPr>
          <w:lang w:val="fr-FR"/>
        </w:rPr>
      </w:pPr>
      <w:r w:rsidRPr="00D75882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4ECCAA3B" w14:textId="77777777" w:rsidR="00656232" w:rsidRDefault="00656232" w:rsidP="00656232">
      <w:pPr>
        <w:pStyle w:val="WMOBodyText"/>
        <w:rPr>
          <w:bCs/>
          <w:lang w:val="fr-FR"/>
        </w:rPr>
      </w:pPr>
      <w:r w:rsidRPr="00686F60">
        <w:rPr>
          <w:b/>
          <w:lang w:val="fr-FR"/>
        </w:rPr>
        <w:t>Rappelant</w:t>
      </w:r>
      <w:r w:rsidRPr="00686F60">
        <w:rPr>
          <w:bCs/>
          <w:lang w:val="fr-FR"/>
        </w:rPr>
        <w:t xml:space="preserve"> </w:t>
      </w:r>
    </w:p>
    <w:p w14:paraId="4ECCAA3C" w14:textId="0C155B84" w:rsidR="00487F8D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hyperlink r:id="rId12" w:anchor="page=147" w:history="1">
        <w:r w:rsidRPr="00B424F1">
          <w:rPr>
            <w:rStyle w:val="Hyperlink"/>
            <w:lang w:val="fr-FR"/>
          </w:rPr>
          <w:t>décision 11 (EC-72)</w:t>
        </w:r>
      </w:hyperlink>
      <w:r w:rsidRPr="005D59DE">
        <w:rPr>
          <w:lang w:val="fr-FR"/>
        </w:rPr>
        <w:t xml:space="preserve"> – Développement de partenariats solides, et portée, ampleur et progrès des projets de développement de l</w:t>
      </w:r>
      <w:r w:rsidR="00DD1B2A">
        <w:rPr>
          <w:lang w:val="fr-FR"/>
        </w:rPr>
        <w:t>’</w:t>
      </w:r>
      <w:r w:rsidRPr="005D59DE">
        <w:rPr>
          <w:lang w:val="fr-FR"/>
        </w:rPr>
        <w:t>OMM,</w:t>
      </w:r>
    </w:p>
    <w:p w14:paraId="4ECCAA3D" w14:textId="77777777" w:rsidR="00487F8D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hyperlink r:id="rId13" w:anchor="page=153" w:history="1">
        <w:r w:rsidRPr="00B424F1">
          <w:rPr>
            <w:rStyle w:val="Hyperlink"/>
            <w:lang w:val="fr-FR"/>
          </w:rPr>
          <w:t>décision 13 (EC-72)</w:t>
        </w:r>
      </w:hyperlink>
      <w:r w:rsidRPr="005D59DE">
        <w:rPr>
          <w:lang w:val="fr-FR"/>
        </w:rPr>
        <w:t xml:space="preserve"> – Développer et maintenir les compétences essentielles,</w:t>
      </w:r>
    </w:p>
    <w:p w14:paraId="4ECCAA3E" w14:textId="6D89F65B" w:rsidR="00487F8D" w:rsidRPr="005D59DE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hyperlink r:id="rId14" w:history="1">
        <w:r w:rsidRPr="00B424F1">
          <w:rPr>
            <w:rStyle w:val="Hyperlink"/>
            <w:lang w:val="fr-FR"/>
          </w:rPr>
          <w:t>décision 3.4(</w:t>
        </w:r>
        <w:proofErr w:type="gramStart"/>
        <w:r w:rsidRPr="00B424F1">
          <w:rPr>
            <w:rStyle w:val="Hyperlink"/>
            <w:lang w:val="fr-FR"/>
          </w:rPr>
          <w:t>1)/</w:t>
        </w:r>
        <w:proofErr w:type="gramEnd"/>
        <w:r w:rsidRPr="00B424F1">
          <w:rPr>
            <w:rStyle w:val="Hyperlink"/>
            <w:lang w:val="fr-FR"/>
          </w:rPr>
          <w:t>1 (EC-76)</w:t>
        </w:r>
      </w:hyperlink>
      <w:r w:rsidRPr="005D59DE">
        <w:rPr>
          <w:lang w:val="fr-FR"/>
        </w:rPr>
        <w:t xml:space="preserve"> </w:t>
      </w:r>
      <w:r w:rsidR="00DD1B2A">
        <w:rPr>
          <w:lang w:val="fr-FR"/>
        </w:rPr>
        <w:t>–</w:t>
      </w:r>
      <w:r w:rsidRPr="005D59DE">
        <w:rPr>
          <w:lang w:val="fr-FR"/>
        </w:rPr>
        <w:t xml:space="preserve"> Recommandations du Groupe d</w:t>
      </w:r>
      <w:r w:rsidR="00DD1B2A">
        <w:rPr>
          <w:lang w:val="fr-FR"/>
        </w:rPr>
        <w:t>’</w:t>
      </w:r>
      <w:r w:rsidRPr="005D59DE">
        <w:rPr>
          <w:lang w:val="fr-FR"/>
        </w:rPr>
        <w:t>experts pour le développement des capacités,</w:t>
      </w:r>
    </w:p>
    <w:p w14:paraId="4ECCAA3F" w14:textId="4B739547" w:rsidR="00487F8D" w:rsidRPr="005D59DE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La </w:t>
      </w:r>
      <w:hyperlink r:id="rId15" w:history="1">
        <w:r w:rsidRPr="00B424F1">
          <w:rPr>
            <w:rStyle w:val="Hyperlink"/>
            <w:lang w:val="fr-FR"/>
          </w:rPr>
          <w:t>recommandation 3.4(</w:t>
        </w:r>
        <w:proofErr w:type="gramStart"/>
        <w:r w:rsidRPr="00B424F1">
          <w:rPr>
            <w:rStyle w:val="Hyperlink"/>
            <w:lang w:val="fr-FR"/>
          </w:rPr>
          <w:t>1)/</w:t>
        </w:r>
        <w:proofErr w:type="gramEnd"/>
        <w:r w:rsidRPr="00B424F1">
          <w:rPr>
            <w:rStyle w:val="Hyperlink"/>
            <w:lang w:val="fr-FR"/>
          </w:rPr>
          <w:t>1 (EC-76)</w:t>
        </w:r>
      </w:hyperlink>
      <w:r w:rsidRPr="005D59DE">
        <w:rPr>
          <w:lang w:val="fr-FR"/>
        </w:rPr>
        <w:t xml:space="preserve"> – </w:t>
      </w:r>
      <w:r w:rsidR="00B424F1">
        <w:rPr>
          <w:lang w:val="fr-FR"/>
        </w:rPr>
        <w:t>Stratégie de l</w:t>
      </w:r>
      <w:r w:rsidR="00DD1B2A">
        <w:rPr>
          <w:lang w:val="fr-FR"/>
        </w:rPr>
        <w:t>’</w:t>
      </w:r>
      <w:r w:rsidR="00B424F1">
        <w:rPr>
          <w:lang w:val="fr-FR"/>
        </w:rPr>
        <w:t xml:space="preserve">OMM pour le </w:t>
      </w:r>
      <w:r w:rsidRPr="005D59DE">
        <w:rPr>
          <w:lang w:val="fr-FR"/>
        </w:rPr>
        <w:t>développement des capacités,</w:t>
      </w:r>
    </w:p>
    <w:p w14:paraId="4ECCAA40" w14:textId="4CE16105" w:rsidR="00487F8D" w:rsidRPr="005D59DE" w:rsidRDefault="00487F8D" w:rsidP="00195D2D">
      <w:pPr>
        <w:pStyle w:val="WMOIndent2"/>
        <w:numPr>
          <w:ilvl w:val="0"/>
          <w:numId w:val="2"/>
        </w:numPr>
        <w:tabs>
          <w:tab w:val="clear" w:pos="1134"/>
        </w:tabs>
        <w:ind w:left="567" w:hanging="567"/>
        <w:rPr>
          <w:lang w:val="fr-FR"/>
        </w:rPr>
      </w:pPr>
      <w:r w:rsidRPr="005D59DE">
        <w:rPr>
          <w:lang w:val="fr-FR"/>
        </w:rPr>
        <w:t xml:space="preserve">Le </w:t>
      </w:r>
      <w:hyperlink r:id="rId16" w:history="1">
        <w:r w:rsidRPr="0075723E">
          <w:rPr>
            <w:rStyle w:val="Hyperlink"/>
            <w:lang w:val="fr-FR"/>
          </w:rPr>
          <w:t>projet de résolution 4.4(</w:t>
        </w:r>
        <w:proofErr w:type="gramStart"/>
        <w:r w:rsidRPr="0075723E">
          <w:rPr>
            <w:rStyle w:val="Hyperlink"/>
            <w:lang w:val="fr-FR"/>
          </w:rPr>
          <w:t>1)/</w:t>
        </w:r>
        <w:proofErr w:type="gramEnd"/>
        <w:r w:rsidRPr="0075723E">
          <w:rPr>
            <w:rStyle w:val="Hyperlink"/>
            <w:lang w:val="fr-FR"/>
          </w:rPr>
          <w:t xml:space="preserve">1 </w:t>
        </w:r>
        <w:proofErr w:type="spellStart"/>
        <w:r w:rsidRPr="0075723E">
          <w:rPr>
            <w:rStyle w:val="Hyperlink"/>
            <w:lang w:val="fr-FR"/>
          </w:rPr>
          <w:t>Cg-19</w:t>
        </w:r>
        <w:proofErr w:type="spellEnd"/>
      </w:hyperlink>
      <w:r w:rsidRPr="005D59DE">
        <w:rPr>
          <w:lang w:val="fr-FR"/>
        </w:rPr>
        <w:t xml:space="preserve"> </w:t>
      </w:r>
      <w:r w:rsidR="00DD1B2A">
        <w:rPr>
          <w:lang w:val="fr-FR"/>
        </w:rPr>
        <w:t>–</w:t>
      </w:r>
      <w:r w:rsidRPr="005D59DE">
        <w:rPr>
          <w:lang w:val="fr-FR"/>
        </w:rPr>
        <w:t xml:space="preserve"> Stratégie de l</w:t>
      </w:r>
      <w:r w:rsidR="00DD1B2A">
        <w:rPr>
          <w:lang w:val="fr-FR"/>
        </w:rPr>
        <w:t>’</w:t>
      </w:r>
      <w:r w:rsidRPr="005D59DE">
        <w:rPr>
          <w:lang w:val="fr-FR"/>
        </w:rPr>
        <w:t>OMM en matière de prestation de services et plan de mise en œuvre,</w:t>
      </w:r>
    </w:p>
    <w:p w14:paraId="4ECCAA41" w14:textId="1697E319" w:rsidR="00487F8D" w:rsidRPr="005D59DE" w:rsidRDefault="00487F8D" w:rsidP="00487F8D">
      <w:pPr>
        <w:pStyle w:val="WMOBodyText"/>
        <w:rPr>
          <w:i/>
          <w:iCs/>
          <w:lang w:val="fr-FR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>la Stratégie de l</w:t>
      </w:r>
      <w:r w:rsidR="00DD1B2A">
        <w:rPr>
          <w:lang w:val="fr-FR"/>
        </w:rPr>
        <w:t>’</w:t>
      </w:r>
      <w:r>
        <w:rPr>
          <w:lang w:val="fr-FR"/>
        </w:rPr>
        <w:t>OMM pour le développement des capacités,</w:t>
      </w:r>
    </w:p>
    <w:p w14:paraId="4ECCAA42" w14:textId="02E4CE0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>Ayant pris en considération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>approbation par le Conseil exécutif des recommandations formulées par son Groupe d</w:t>
      </w:r>
      <w:r w:rsidR="00DD1B2A">
        <w:rPr>
          <w:lang w:val="fr-FR"/>
        </w:rPr>
        <w:t>’</w:t>
      </w:r>
      <w:r>
        <w:rPr>
          <w:lang w:val="fr-FR"/>
        </w:rPr>
        <w:t xml:space="preserve">experts pour le développement des capacités, </w:t>
      </w:r>
    </w:p>
    <w:p w14:paraId="4ECCAA43" w14:textId="062C832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Ayant également pris en considération </w:t>
      </w:r>
      <w:r>
        <w:rPr>
          <w:lang w:val="fr-FR"/>
        </w:rPr>
        <w:t>l</w:t>
      </w:r>
      <w:r w:rsidR="00DD1B2A">
        <w:rPr>
          <w:lang w:val="fr-FR"/>
        </w:rPr>
        <w:t>’</w:t>
      </w:r>
      <w:r w:rsidR="00197C5A">
        <w:rPr>
          <w:lang w:val="fr-FR"/>
        </w:rPr>
        <w:t>I</w:t>
      </w:r>
      <w:r>
        <w:rPr>
          <w:lang w:val="fr-FR"/>
        </w:rPr>
        <w:t xml:space="preserve">nitiative </w:t>
      </w:r>
      <w:r w:rsidR="00197C5A">
        <w:rPr>
          <w:lang w:val="fr-FR"/>
        </w:rPr>
        <w:t>en faveur d</w:t>
      </w:r>
      <w:r w:rsidR="00DD1B2A">
        <w:rPr>
          <w:lang w:val="fr-FR"/>
        </w:rPr>
        <w:t>’</w:t>
      </w:r>
      <w:r w:rsidR="00197C5A">
        <w:rPr>
          <w:lang w:val="fr-FR"/>
        </w:rPr>
        <w:t>a</w:t>
      </w:r>
      <w:r>
        <w:rPr>
          <w:lang w:val="fr-FR"/>
        </w:rPr>
        <w:t>lertes précoces pour tous, ainsi que les lacunes en matière de capacités et les besoins des Membres,</w:t>
      </w:r>
    </w:p>
    <w:p w14:paraId="4ECCAA44" w14:textId="10CF64B4" w:rsidR="00487F8D" w:rsidRPr="005D59DE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Se félicite </w:t>
      </w:r>
      <w:r w:rsidRPr="002D06AC">
        <w:rPr>
          <w:lang w:val="fr-FR"/>
        </w:rPr>
        <w:t>de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 xml:space="preserve">engagement du Secrétaire général en faveur des activités de développement des capacités, comme en témoignent les différents soutiens apportés aux Membres </w:t>
      </w:r>
      <w:r w:rsidR="001C6904">
        <w:rPr>
          <w:lang w:val="fr-FR"/>
        </w:rPr>
        <w:t xml:space="preserve">en matière de </w:t>
      </w:r>
      <w:r>
        <w:rPr>
          <w:lang w:val="fr-FR"/>
        </w:rPr>
        <w:t xml:space="preserve">mobilisation de ressources, </w:t>
      </w:r>
      <w:r w:rsidR="001C6904">
        <w:rPr>
          <w:lang w:val="fr-FR"/>
        </w:rPr>
        <w:t xml:space="preserve">de </w:t>
      </w:r>
      <w:r>
        <w:rPr>
          <w:lang w:val="fr-FR"/>
        </w:rPr>
        <w:t xml:space="preserve">renforcement des ressources humaines et </w:t>
      </w:r>
      <w:r w:rsidR="001C6904">
        <w:rPr>
          <w:lang w:val="fr-FR"/>
        </w:rPr>
        <w:t xml:space="preserve">de </w:t>
      </w:r>
      <w:r w:rsidR="006D02D2">
        <w:rPr>
          <w:lang w:val="fr-FR"/>
        </w:rPr>
        <w:t>prestation</w:t>
      </w:r>
      <w:r>
        <w:rPr>
          <w:lang w:val="fr-FR"/>
        </w:rPr>
        <w:t xml:space="preserve"> de services consultatifs </w:t>
      </w:r>
      <w:proofErr w:type="gramStart"/>
      <w:r>
        <w:rPr>
          <w:lang w:val="fr-FR"/>
        </w:rPr>
        <w:t>pertinents;</w:t>
      </w:r>
      <w:proofErr w:type="gramEnd"/>
    </w:p>
    <w:p w14:paraId="4ECCAA45" w14:textId="0659FE7F" w:rsidR="00487F8D" w:rsidRDefault="00487F8D" w:rsidP="00487F8D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Se félicite également </w:t>
      </w:r>
      <w:r w:rsidRPr="002D06AC">
        <w:rPr>
          <w:lang w:val="fr-FR"/>
        </w:rPr>
        <w:t>de</w:t>
      </w:r>
      <w:r>
        <w:rPr>
          <w:lang w:val="fr-FR"/>
        </w:rPr>
        <w:t xml:space="preserve"> l</w:t>
      </w:r>
      <w:r w:rsidR="00DD1B2A">
        <w:rPr>
          <w:lang w:val="fr-FR"/>
        </w:rPr>
        <w:t>’</w:t>
      </w:r>
      <w:r>
        <w:rPr>
          <w:lang w:val="fr-FR"/>
        </w:rPr>
        <w:t xml:space="preserve">engagement du Secrétaire général </w:t>
      </w:r>
      <w:r w:rsidR="006B16E4">
        <w:rPr>
          <w:lang w:val="fr-FR"/>
        </w:rPr>
        <w:t xml:space="preserve">à promouvoir </w:t>
      </w:r>
      <w:r>
        <w:rPr>
          <w:lang w:val="fr-FR"/>
        </w:rPr>
        <w:t>l</w:t>
      </w:r>
      <w:r w:rsidR="00DD1B2A">
        <w:rPr>
          <w:lang w:val="fr-FR"/>
        </w:rPr>
        <w:t>’</w:t>
      </w:r>
      <w:r w:rsidR="006B16E4">
        <w:rPr>
          <w:lang w:val="fr-FR"/>
        </w:rPr>
        <w:t>I</w:t>
      </w:r>
      <w:r>
        <w:rPr>
          <w:lang w:val="fr-FR"/>
        </w:rPr>
        <w:t xml:space="preserve">nitiative </w:t>
      </w:r>
      <w:r w:rsidR="006B16E4">
        <w:rPr>
          <w:lang w:val="fr-FR"/>
        </w:rPr>
        <w:t>en faveur d</w:t>
      </w:r>
      <w:r w:rsidR="00DD1B2A">
        <w:rPr>
          <w:lang w:val="fr-FR"/>
        </w:rPr>
        <w:t>’</w:t>
      </w:r>
      <w:r w:rsidR="006B16E4">
        <w:rPr>
          <w:lang w:val="fr-FR"/>
        </w:rPr>
        <w:t>a</w:t>
      </w:r>
      <w:r>
        <w:rPr>
          <w:lang w:val="fr-FR"/>
        </w:rPr>
        <w:t xml:space="preserve">lertes précoces pour tous et </w:t>
      </w:r>
      <w:r w:rsidR="006E095A">
        <w:rPr>
          <w:lang w:val="fr-FR"/>
        </w:rPr>
        <w:t>l</w:t>
      </w:r>
      <w:r>
        <w:rPr>
          <w:lang w:val="fr-FR"/>
        </w:rPr>
        <w:t xml:space="preserve">es activités </w:t>
      </w:r>
      <w:proofErr w:type="gramStart"/>
      <w:r>
        <w:rPr>
          <w:lang w:val="fr-FR"/>
        </w:rPr>
        <w:t>associées;</w:t>
      </w:r>
      <w:proofErr w:type="gramEnd"/>
    </w:p>
    <w:p w14:paraId="4ECCAA46" w14:textId="77777777" w:rsidR="00487F8D" w:rsidRDefault="00487F8D" w:rsidP="00487F8D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  <w:lang w:val="fr-FR"/>
        </w:rPr>
      </w:pPr>
      <w:r>
        <w:rPr>
          <w:b/>
          <w:bCs/>
          <w:lang w:val="fr-FR"/>
        </w:rPr>
        <w:t xml:space="preserve">Invite les </w:t>
      </w:r>
      <w:proofErr w:type="gramStart"/>
      <w:r>
        <w:rPr>
          <w:b/>
          <w:bCs/>
          <w:lang w:val="fr-FR"/>
        </w:rPr>
        <w:t>Membres:</w:t>
      </w:r>
      <w:proofErr w:type="gramEnd"/>
    </w:p>
    <w:p w14:paraId="4ECCAA47" w14:textId="24F16063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mobiliser les ressources humaines et techniques nécessaires aux fins de la mise en œuvre de l</w:t>
      </w:r>
      <w:r w:rsidR="00DD1B2A">
        <w:rPr>
          <w:lang w:val="fr-FR"/>
        </w:rPr>
        <w:t>’</w:t>
      </w:r>
      <w:r>
        <w:rPr>
          <w:lang w:val="fr-FR"/>
        </w:rPr>
        <w:t xml:space="preserve">Initiative </w:t>
      </w:r>
      <w:r w:rsidR="00A44B62">
        <w:rPr>
          <w:lang w:val="fr-FR"/>
        </w:rPr>
        <w:t>en faveur d</w:t>
      </w:r>
      <w:r w:rsidR="00DD1B2A">
        <w:rPr>
          <w:lang w:val="fr-FR"/>
        </w:rPr>
        <w:t>’</w:t>
      </w:r>
      <w:r w:rsidR="00A44B62">
        <w:rPr>
          <w:lang w:val="fr-FR"/>
        </w:rPr>
        <w:t>a</w:t>
      </w:r>
      <w:r>
        <w:rPr>
          <w:lang w:val="fr-FR"/>
        </w:rPr>
        <w:t xml:space="preserve">lertes précoces pour </w:t>
      </w:r>
      <w:proofErr w:type="gramStart"/>
      <w:r>
        <w:rPr>
          <w:lang w:val="fr-FR"/>
        </w:rPr>
        <w:t>tous;</w:t>
      </w:r>
      <w:proofErr w:type="gramEnd"/>
    </w:p>
    <w:p w14:paraId="4ECCAA48" w14:textId="643FB306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 xml:space="preserve">À </w:t>
      </w:r>
      <w:r w:rsidR="00873875">
        <w:rPr>
          <w:lang w:val="fr-FR"/>
        </w:rPr>
        <w:t xml:space="preserve">accroître </w:t>
      </w:r>
      <w:r>
        <w:rPr>
          <w:lang w:val="fr-FR"/>
        </w:rPr>
        <w:t>les contributions à l</w:t>
      </w:r>
      <w:r w:rsidR="00DD1B2A">
        <w:rPr>
          <w:lang w:val="fr-FR"/>
        </w:rPr>
        <w:t>’</w:t>
      </w:r>
      <w:r>
        <w:rPr>
          <w:lang w:val="fr-FR"/>
        </w:rPr>
        <w:t xml:space="preserve">élaboration et à la mise en œuvre des politiques au niveau national dans le but </w:t>
      </w:r>
      <w:r w:rsidR="00AA62C3">
        <w:rPr>
          <w:lang w:val="fr-FR"/>
        </w:rPr>
        <w:t xml:space="preserve">que les bénéficiaires potentiels </w:t>
      </w:r>
      <w:r w:rsidR="00A359D2">
        <w:rPr>
          <w:lang w:val="fr-FR"/>
        </w:rPr>
        <w:t>renforcent</w:t>
      </w:r>
      <w:r>
        <w:rPr>
          <w:lang w:val="fr-FR"/>
        </w:rPr>
        <w:t xml:space="preserve"> l</w:t>
      </w:r>
      <w:r w:rsidR="00A04974">
        <w:rPr>
          <w:lang w:val="fr-FR"/>
        </w:rPr>
        <w:t xml:space="preserve">eur </w:t>
      </w:r>
      <w:r>
        <w:rPr>
          <w:lang w:val="fr-FR"/>
        </w:rPr>
        <w:t>utilisation des produits et services des Services météorologiques et hydrologiques nationaux (</w:t>
      </w:r>
      <w:proofErr w:type="spellStart"/>
      <w:r>
        <w:rPr>
          <w:lang w:val="fr-FR"/>
        </w:rPr>
        <w:t>SMHN</w:t>
      </w:r>
      <w:proofErr w:type="spellEnd"/>
      <w:proofErr w:type="gramStart"/>
      <w:r>
        <w:rPr>
          <w:lang w:val="fr-FR"/>
        </w:rPr>
        <w:t>);</w:t>
      </w:r>
      <w:proofErr w:type="gramEnd"/>
    </w:p>
    <w:p w14:paraId="4ECCAA49" w14:textId="40C001F1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soutenir et à encourager l</w:t>
      </w:r>
      <w:r w:rsidR="00DD1B2A">
        <w:rPr>
          <w:lang w:val="fr-FR"/>
        </w:rPr>
        <w:t>’</w:t>
      </w:r>
      <w:r>
        <w:rPr>
          <w:lang w:val="fr-FR"/>
        </w:rPr>
        <w:t>élaboration de politiques au niveau national afin d</w:t>
      </w:r>
      <w:r w:rsidR="00DD1B2A">
        <w:rPr>
          <w:lang w:val="fr-FR"/>
        </w:rPr>
        <w:t>’</w:t>
      </w:r>
      <w:r>
        <w:rPr>
          <w:lang w:val="fr-FR"/>
        </w:rPr>
        <w:t xml:space="preserve">améliorer les échanges avec la société </w:t>
      </w:r>
      <w:proofErr w:type="gramStart"/>
      <w:r>
        <w:rPr>
          <w:lang w:val="fr-FR"/>
        </w:rPr>
        <w:t>civile;</w:t>
      </w:r>
      <w:proofErr w:type="gramEnd"/>
      <w:r>
        <w:rPr>
          <w:lang w:val="fr-FR"/>
        </w:rPr>
        <w:t xml:space="preserve"> </w:t>
      </w:r>
    </w:p>
    <w:p w14:paraId="4ECCAA4A" w14:textId="17780337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promouvoir l</w:t>
      </w:r>
      <w:r w:rsidR="00DD1B2A">
        <w:rPr>
          <w:lang w:val="fr-FR"/>
        </w:rPr>
        <w:t>’</w:t>
      </w:r>
      <w:r>
        <w:rPr>
          <w:lang w:val="fr-FR"/>
        </w:rPr>
        <w:t xml:space="preserve">adoption par tous les </w:t>
      </w:r>
      <w:proofErr w:type="spellStart"/>
      <w:r>
        <w:rPr>
          <w:lang w:val="fr-FR"/>
        </w:rPr>
        <w:t>SMHN</w:t>
      </w:r>
      <w:proofErr w:type="spellEnd"/>
      <w:r>
        <w:rPr>
          <w:lang w:val="fr-FR"/>
        </w:rPr>
        <w:t xml:space="preserve"> des normes et des pratiques recommandées de </w:t>
      </w:r>
      <w:proofErr w:type="gramStart"/>
      <w:r>
        <w:rPr>
          <w:lang w:val="fr-FR"/>
        </w:rPr>
        <w:t>l</w:t>
      </w:r>
      <w:r w:rsidR="00DD1B2A">
        <w:rPr>
          <w:lang w:val="fr-FR"/>
        </w:rPr>
        <w:t>’</w:t>
      </w:r>
      <w:r>
        <w:rPr>
          <w:lang w:val="fr-FR"/>
        </w:rPr>
        <w:t>OMM;</w:t>
      </w:r>
      <w:proofErr w:type="gramEnd"/>
    </w:p>
    <w:p w14:paraId="4ECCAA4B" w14:textId="543BA7CB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déployer des efforts concertés pour mettre en place un cadre institutionnel viable afin de promouvoir une collaboration efficace</w:t>
      </w:r>
      <w:r w:rsidR="002D06AC">
        <w:rPr>
          <w:lang w:val="fr-FR"/>
        </w:rPr>
        <w:t xml:space="preserve"> et mutuellement bénéfique</w:t>
      </w:r>
      <w:r>
        <w:rPr>
          <w:lang w:val="fr-FR"/>
        </w:rPr>
        <w:t xml:space="preserve"> avec le secteur privé et d</w:t>
      </w:r>
      <w:r w:rsidR="00DD1B2A">
        <w:rPr>
          <w:lang w:val="fr-FR"/>
        </w:rPr>
        <w:t>’</w:t>
      </w:r>
      <w:r>
        <w:rPr>
          <w:lang w:val="fr-FR"/>
        </w:rPr>
        <w:t xml:space="preserve">autres parties </w:t>
      </w:r>
      <w:proofErr w:type="gramStart"/>
      <w:r>
        <w:rPr>
          <w:lang w:val="fr-FR"/>
        </w:rPr>
        <w:t>prenantes;</w:t>
      </w:r>
      <w:proofErr w:type="gramEnd"/>
      <w:r>
        <w:rPr>
          <w:lang w:val="fr-FR"/>
        </w:rPr>
        <w:t xml:space="preserve"> </w:t>
      </w:r>
    </w:p>
    <w:p w14:paraId="4ECCAA4C" w14:textId="2CAD76FE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lastRenderedPageBreak/>
        <w:t>À soutenir la mise en place et la maintenance continu</w:t>
      </w:r>
      <w:r w:rsidR="004E5B36">
        <w:rPr>
          <w:lang w:val="fr-FR"/>
        </w:rPr>
        <w:t>e</w:t>
      </w:r>
      <w:r>
        <w:rPr>
          <w:lang w:val="fr-FR"/>
        </w:rPr>
        <w:t>s des infrastructures météorologiques et hydrologiques en tant qu</w:t>
      </w:r>
      <w:r w:rsidR="00DD1B2A">
        <w:rPr>
          <w:lang w:val="fr-FR"/>
        </w:rPr>
        <w:t>’</w:t>
      </w:r>
      <w:r>
        <w:rPr>
          <w:lang w:val="fr-FR"/>
        </w:rPr>
        <w:t xml:space="preserve">infrastructures nationales </w:t>
      </w:r>
      <w:r w:rsidR="000A5F17">
        <w:rPr>
          <w:lang w:val="fr-FR"/>
        </w:rPr>
        <w:t>ordinaires</w:t>
      </w:r>
      <w:r>
        <w:rPr>
          <w:lang w:val="fr-FR"/>
        </w:rPr>
        <w:t xml:space="preserve"> et </w:t>
      </w:r>
      <w:proofErr w:type="gramStart"/>
      <w:r>
        <w:rPr>
          <w:lang w:val="fr-FR"/>
        </w:rPr>
        <w:t>évolutives;</w:t>
      </w:r>
      <w:proofErr w:type="gramEnd"/>
    </w:p>
    <w:p w14:paraId="4ECCAA4D" w14:textId="37D5A6A4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envisager de soutenir davantage les activités par l</w:t>
      </w:r>
      <w:r w:rsidR="00DD1B2A">
        <w:rPr>
          <w:lang w:val="fr-FR"/>
        </w:rPr>
        <w:t>’</w:t>
      </w:r>
      <w:r>
        <w:rPr>
          <w:lang w:val="fr-FR"/>
        </w:rPr>
        <w:t xml:space="preserve">élaboration et la mise en œuvre de projets bilatéraux et </w:t>
      </w:r>
      <w:proofErr w:type="gramStart"/>
      <w:r>
        <w:rPr>
          <w:lang w:val="fr-FR"/>
        </w:rPr>
        <w:t>multilatéraux;</w:t>
      </w:r>
      <w:proofErr w:type="gramEnd"/>
    </w:p>
    <w:p w14:paraId="4ECCAA4E" w14:textId="77777777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 xml:space="preserve">À encourager la collaboration entre les acteurs des sciences sociales et les </w:t>
      </w:r>
      <w:proofErr w:type="spellStart"/>
      <w:r>
        <w:rPr>
          <w:lang w:val="fr-FR"/>
        </w:rPr>
        <w:t>SMHN</w:t>
      </w:r>
      <w:proofErr w:type="spellEnd"/>
      <w:r>
        <w:rPr>
          <w:lang w:val="fr-FR"/>
        </w:rPr>
        <w:t xml:space="preserve">, notamment par le biais de projets </w:t>
      </w:r>
      <w:proofErr w:type="gramStart"/>
      <w:r>
        <w:rPr>
          <w:lang w:val="fr-FR"/>
        </w:rPr>
        <w:t>spéciaux;</w:t>
      </w:r>
      <w:proofErr w:type="gramEnd"/>
    </w:p>
    <w:p w14:paraId="4ECCAA4F" w14:textId="71F74C20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faciliter et à soutenir le développement de réseaux scientifiques avec la participation d</w:t>
      </w:r>
      <w:r w:rsidR="00DD1B2A">
        <w:rPr>
          <w:lang w:val="fr-FR"/>
        </w:rPr>
        <w:t>’</w:t>
      </w:r>
      <w:r>
        <w:rPr>
          <w:lang w:val="fr-FR"/>
        </w:rPr>
        <w:t xml:space="preserve">un personnel </w:t>
      </w:r>
      <w:proofErr w:type="gramStart"/>
      <w:r>
        <w:rPr>
          <w:lang w:val="fr-FR"/>
        </w:rPr>
        <w:t>pluridisciplinaire;</w:t>
      </w:r>
      <w:proofErr w:type="gramEnd"/>
    </w:p>
    <w:p w14:paraId="4ECCAA50" w14:textId="57D538B5" w:rsidR="00487F8D" w:rsidRPr="005D59DE" w:rsidRDefault="00487F8D" w:rsidP="003B21CA">
      <w:pPr>
        <w:pStyle w:val="WMOIndent2"/>
        <w:numPr>
          <w:ilvl w:val="0"/>
          <w:numId w:val="6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À favoriser la collaboration entre le m</w:t>
      </w:r>
      <w:r w:rsidR="00AD7BF9">
        <w:rPr>
          <w:lang w:val="fr-FR"/>
        </w:rPr>
        <w:t xml:space="preserve">ilieu </w:t>
      </w:r>
      <w:r>
        <w:rPr>
          <w:lang w:val="fr-FR"/>
        </w:rPr>
        <w:t xml:space="preserve">universitaire, le </w:t>
      </w:r>
      <w:r w:rsidR="00AD7BF9">
        <w:rPr>
          <w:lang w:val="fr-FR"/>
        </w:rPr>
        <w:t xml:space="preserve">monde </w:t>
      </w:r>
      <w:r>
        <w:rPr>
          <w:lang w:val="fr-FR"/>
        </w:rPr>
        <w:t>de la recherche et le secteur opérationnel, notamment par le biais de projets nationaux et régionaux, et à stimuler la recherche interdisciplinaire à tous les niveaux en vue d</w:t>
      </w:r>
      <w:r w:rsidR="00DD1B2A">
        <w:rPr>
          <w:lang w:val="fr-FR"/>
        </w:rPr>
        <w:t>’</w:t>
      </w:r>
      <w:r>
        <w:rPr>
          <w:lang w:val="fr-FR"/>
        </w:rPr>
        <w:t xml:space="preserve">améliorer la prestation de </w:t>
      </w:r>
      <w:proofErr w:type="gramStart"/>
      <w:r>
        <w:rPr>
          <w:lang w:val="fr-FR"/>
        </w:rPr>
        <w:t>services;</w:t>
      </w:r>
      <w:proofErr w:type="gramEnd"/>
    </w:p>
    <w:p w14:paraId="4ECCAA51" w14:textId="77777777" w:rsidR="00487F8D" w:rsidRDefault="00487F8D" w:rsidP="00487F8D">
      <w:pPr>
        <w:pStyle w:val="WMOIndent1"/>
        <w:rPr>
          <w:b/>
          <w:bCs/>
          <w:lang w:val="fr-FR"/>
        </w:rPr>
      </w:pPr>
      <w:r>
        <w:rPr>
          <w:b/>
          <w:bCs/>
          <w:lang w:val="fr-FR"/>
        </w:rPr>
        <w:t xml:space="preserve">Prie le Secrétaire </w:t>
      </w:r>
      <w:proofErr w:type="gramStart"/>
      <w:r>
        <w:rPr>
          <w:b/>
          <w:bCs/>
          <w:lang w:val="fr-FR"/>
        </w:rPr>
        <w:t>général:</w:t>
      </w:r>
      <w:proofErr w:type="gramEnd"/>
    </w:p>
    <w:p w14:paraId="4ECCAA52" w14:textId="3A1AE717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 xml:space="preserve">De poursuivre la mobilisation des ressources </w:t>
      </w:r>
      <w:r w:rsidR="008A067B">
        <w:rPr>
          <w:lang w:val="fr-FR"/>
        </w:rPr>
        <w:t>requises</w:t>
      </w:r>
      <w:r>
        <w:rPr>
          <w:lang w:val="fr-FR"/>
        </w:rPr>
        <w:t xml:space="preserve"> pour soutenir l</w:t>
      </w:r>
      <w:r w:rsidR="00DD1B2A">
        <w:rPr>
          <w:lang w:val="fr-FR"/>
        </w:rPr>
        <w:t>’</w:t>
      </w:r>
      <w:r w:rsidR="00CE0ADC">
        <w:rPr>
          <w:lang w:val="fr-FR"/>
        </w:rPr>
        <w:t>I</w:t>
      </w:r>
      <w:r>
        <w:rPr>
          <w:lang w:val="fr-FR"/>
        </w:rPr>
        <w:t xml:space="preserve">nitiative </w:t>
      </w:r>
      <w:r w:rsidR="00CE0ADC">
        <w:rPr>
          <w:lang w:val="fr-FR"/>
        </w:rPr>
        <w:t>en faveur d</w:t>
      </w:r>
      <w:r w:rsidR="00DD1B2A">
        <w:rPr>
          <w:lang w:val="fr-FR"/>
        </w:rPr>
        <w:t>’</w:t>
      </w:r>
      <w:r w:rsidR="00CE0ADC">
        <w:rPr>
          <w:lang w:val="fr-FR"/>
        </w:rPr>
        <w:t>a</w:t>
      </w:r>
      <w:r>
        <w:rPr>
          <w:lang w:val="fr-FR"/>
        </w:rPr>
        <w:t xml:space="preserve">lertes précoces pour </w:t>
      </w:r>
      <w:proofErr w:type="gramStart"/>
      <w:r>
        <w:rPr>
          <w:lang w:val="fr-FR"/>
        </w:rPr>
        <w:t>tous;</w:t>
      </w:r>
      <w:proofErr w:type="gramEnd"/>
    </w:p>
    <w:p w14:paraId="4ECCAA53" w14:textId="4DF9B644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>encourager la coopération régionale et sous-régionale afin d</w:t>
      </w:r>
      <w:r w:rsidR="00DD1B2A">
        <w:rPr>
          <w:lang w:val="fr-FR"/>
        </w:rPr>
        <w:t>’</w:t>
      </w:r>
      <w:r>
        <w:rPr>
          <w:lang w:val="fr-FR"/>
        </w:rPr>
        <w:t xml:space="preserve">obtenir les résultats nécessaires au développement des </w:t>
      </w:r>
      <w:proofErr w:type="gramStart"/>
      <w:r>
        <w:rPr>
          <w:lang w:val="fr-FR"/>
        </w:rPr>
        <w:t>capacités;</w:t>
      </w:r>
      <w:proofErr w:type="gramEnd"/>
    </w:p>
    <w:p w14:paraId="4ECCAA54" w14:textId="011A367C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 xml:space="preserve">De promouvoir la collaboration entre les partenaires du Programme de coopération volontaire afin de soutenir la mobilisation de ressources destinées aux </w:t>
      </w:r>
      <w:proofErr w:type="spellStart"/>
      <w:proofErr w:type="gramStart"/>
      <w:r>
        <w:rPr>
          <w:lang w:val="fr-FR"/>
        </w:rPr>
        <w:t>SMHN</w:t>
      </w:r>
      <w:proofErr w:type="spellEnd"/>
      <w:r>
        <w:rPr>
          <w:lang w:val="fr-FR"/>
        </w:rPr>
        <w:t>;</w:t>
      </w:r>
      <w:proofErr w:type="gramEnd"/>
    </w:p>
    <w:p w14:paraId="4ECCAA55" w14:textId="6EA54CD7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 xml:space="preserve">encourager le mentorat par </w:t>
      </w:r>
      <w:r w:rsidR="00217E85">
        <w:rPr>
          <w:lang w:val="fr-FR"/>
        </w:rPr>
        <w:t>la participation</w:t>
      </w:r>
      <w:r>
        <w:rPr>
          <w:lang w:val="fr-FR"/>
        </w:rPr>
        <w:t xml:space="preserve"> de volontaires </w:t>
      </w:r>
      <w:r w:rsidR="00217E85">
        <w:rPr>
          <w:lang w:val="fr-FR"/>
        </w:rPr>
        <w:t xml:space="preserve">aux </w:t>
      </w:r>
      <w:r>
        <w:rPr>
          <w:lang w:val="fr-FR"/>
        </w:rPr>
        <w:t>programmes d</w:t>
      </w:r>
      <w:r w:rsidR="00DD1B2A">
        <w:rPr>
          <w:lang w:val="fr-FR"/>
        </w:rPr>
        <w:t>’</w:t>
      </w:r>
      <w:r>
        <w:rPr>
          <w:lang w:val="fr-FR"/>
        </w:rPr>
        <w:t xml:space="preserve">échange entre les </w:t>
      </w:r>
      <w:proofErr w:type="spellStart"/>
      <w:proofErr w:type="gramStart"/>
      <w:r>
        <w:rPr>
          <w:lang w:val="fr-FR"/>
        </w:rPr>
        <w:t>SMHN</w:t>
      </w:r>
      <w:proofErr w:type="spellEnd"/>
      <w:r>
        <w:rPr>
          <w:lang w:val="fr-FR"/>
        </w:rPr>
        <w:t>;</w:t>
      </w:r>
      <w:proofErr w:type="gramEnd"/>
    </w:p>
    <w:p w14:paraId="4ECCAA56" w14:textId="48EC63CC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De promouvoir des mesures de nature politique que les gouvernements pourraient envisager d</w:t>
      </w:r>
      <w:r w:rsidR="00DD1B2A">
        <w:rPr>
          <w:lang w:val="fr-FR"/>
        </w:rPr>
        <w:t>’</w:t>
      </w:r>
      <w:r>
        <w:rPr>
          <w:lang w:val="fr-FR"/>
        </w:rPr>
        <w:t xml:space="preserve">adopter dans le but de renforcer les avantages socio-économiques que les </w:t>
      </w:r>
      <w:proofErr w:type="spellStart"/>
      <w:r>
        <w:rPr>
          <w:lang w:val="fr-FR"/>
        </w:rPr>
        <w:t>SMHN</w:t>
      </w:r>
      <w:proofErr w:type="spellEnd"/>
      <w:r>
        <w:rPr>
          <w:lang w:val="fr-FR"/>
        </w:rPr>
        <w:t xml:space="preserve"> apportent à la </w:t>
      </w:r>
      <w:proofErr w:type="gramStart"/>
      <w:r>
        <w:rPr>
          <w:lang w:val="fr-FR"/>
        </w:rPr>
        <w:t>population;</w:t>
      </w:r>
      <w:proofErr w:type="gramEnd"/>
    </w:p>
    <w:p w14:paraId="4ECCAA57" w14:textId="4E7A9DF4" w:rsidR="00487F8D" w:rsidRPr="005D59DE" w:rsidRDefault="00487F8D" w:rsidP="006E095A">
      <w:pPr>
        <w:pStyle w:val="WMOIndent2"/>
        <w:numPr>
          <w:ilvl w:val="0"/>
          <w:numId w:val="5"/>
        </w:numPr>
        <w:tabs>
          <w:tab w:val="clear" w:pos="1134"/>
        </w:tabs>
        <w:ind w:left="567" w:hanging="567"/>
        <w:rPr>
          <w:lang w:val="fr-FR"/>
        </w:rPr>
      </w:pP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>élaborer des documents d</w:t>
      </w:r>
      <w:r w:rsidR="00DD1B2A">
        <w:rPr>
          <w:lang w:val="fr-FR"/>
        </w:rPr>
        <w:t>’</w:t>
      </w:r>
      <w:r>
        <w:rPr>
          <w:lang w:val="fr-FR"/>
        </w:rPr>
        <w:t>orientation pour aider les parties prenantes intéressées à faire correspondre les besoins en matière de recherche, l</w:t>
      </w:r>
      <w:r w:rsidR="00DD1B2A">
        <w:rPr>
          <w:lang w:val="fr-FR"/>
        </w:rPr>
        <w:t>’</w:t>
      </w:r>
      <w:r>
        <w:rPr>
          <w:lang w:val="fr-FR"/>
        </w:rPr>
        <w:t xml:space="preserve">expertise souhaitable aux échelles régionale, sous-régionale et nationale </w:t>
      </w:r>
      <w:r w:rsidR="007D5FC1">
        <w:rPr>
          <w:lang w:val="fr-FR"/>
        </w:rPr>
        <w:t>ainsi que</w:t>
      </w:r>
      <w:r>
        <w:rPr>
          <w:lang w:val="fr-FR"/>
        </w:rPr>
        <w:t xml:space="preserve"> les possibilités de </w:t>
      </w:r>
      <w:proofErr w:type="gramStart"/>
      <w:r>
        <w:rPr>
          <w:lang w:val="fr-FR"/>
        </w:rPr>
        <w:t>financement;</w:t>
      </w:r>
      <w:proofErr w:type="gramEnd"/>
    </w:p>
    <w:p w14:paraId="4ECCAA58" w14:textId="036DD4FD" w:rsidR="00487F8D" w:rsidRDefault="00487F8D" w:rsidP="00487F8D">
      <w:pPr>
        <w:pStyle w:val="WMOIndent1"/>
        <w:tabs>
          <w:tab w:val="clear" w:pos="567"/>
        </w:tabs>
        <w:ind w:left="0" w:firstLine="0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les conseils régionaux, les commissions techniques, le Conseil de la recherche et le Groupe de coordination hydrologique, dans le cadre du Plan stratégique de l</w:t>
      </w:r>
      <w:r w:rsidR="00DD1B2A">
        <w:rPr>
          <w:lang w:val="fr-FR"/>
        </w:rPr>
        <w:t>’</w:t>
      </w:r>
      <w:r>
        <w:rPr>
          <w:lang w:val="fr-FR"/>
        </w:rPr>
        <w:t>OMM, de</w:t>
      </w:r>
      <w:r w:rsidR="00940CB1">
        <w:rPr>
          <w:lang w:val="fr-FR"/>
        </w:rPr>
        <w:t xml:space="preserve"> s</w:t>
      </w:r>
      <w:r w:rsidR="00DD1B2A">
        <w:rPr>
          <w:lang w:val="fr-FR"/>
        </w:rPr>
        <w:t>’</w:t>
      </w:r>
      <w:r w:rsidR="00940CB1">
        <w:rPr>
          <w:lang w:val="fr-FR"/>
        </w:rPr>
        <w:t>efforcer</w:t>
      </w:r>
      <w:r>
        <w:rPr>
          <w:lang w:val="fr-FR"/>
        </w:rPr>
        <w:t xml:space="preserve">, entre </w:t>
      </w:r>
      <w:proofErr w:type="gramStart"/>
      <w:r>
        <w:rPr>
          <w:lang w:val="fr-FR"/>
        </w:rPr>
        <w:t>autres:</w:t>
      </w:r>
      <w:proofErr w:type="gramEnd"/>
    </w:p>
    <w:p w14:paraId="4ECCAA59" w14:textId="09CAF445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De déployer des efforts de développement des capacités en conformité avec la Stratégie de l</w:t>
      </w:r>
      <w:r w:rsidR="00DD1B2A">
        <w:rPr>
          <w:lang w:val="fr-FR"/>
        </w:rPr>
        <w:t>’</w:t>
      </w:r>
      <w:r>
        <w:rPr>
          <w:lang w:val="fr-FR"/>
        </w:rPr>
        <w:t>OMM pour le développement des capacités, afin d</w:t>
      </w:r>
      <w:r w:rsidR="00DD1B2A">
        <w:rPr>
          <w:lang w:val="fr-FR"/>
        </w:rPr>
        <w:t>’</w:t>
      </w:r>
      <w:r>
        <w:rPr>
          <w:lang w:val="fr-FR"/>
        </w:rPr>
        <w:t xml:space="preserve">assurer la cohérence des </w:t>
      </w:r>
      <w:r w:rsidR="00F043DC">
        <w:rPr>
          <w:lang w:val="fr-FR"/>
        </w:rPr>
        <w:t xml:space="preserve">activités et </w:t>
      </w:r>
      <w:r>
        <w:rPr>
          <w:lang w:val="fr-FR"/>
        </w:rPr>
        <w:t>projets correspondants à l</w:t>
      </w:r>
      <w:r w:rsidR="00DD1B2A">
        <w:rPr>
          <w:lang w:val="fr-FR"/>
        </w:rPr>
        <w:t>’</w:t>
      </w:r>
      <w:r>
        <w:rPr>
          <w:lang w:val="fr-FR"/>
        </w:rPr>
        <w:t xml:space="preserve">échelle de </w:t>
      </w:r>
      <w:proofErr w:type="gramStart"/>
      <w:r>
        <w:rPr>
          <w:lang w:val="fr-FR"/>
        </w:rPr>
        <w:t>l</w:t>
      </w:r>
      <w:r w:rsidR="00DD1B2A">
        <w:rPr>
          <w:lang w:val="fr-FR"/>
        </w:rPr>
        <w:t>’</w:t>
      </w:r>
      <w:r w:rsidR="002D06AC">
        <w:rPr>
          <w:lang w:val="fr-FR"/>
        </w:rPr>
        <w:t>O</w:t>
      </w:r>
      <w:r>
        <w:rPr>
          <w:lang w:val="fr-FR"/>
        </w:rPr>
        <w:t>rganisation;</w:t>
      </w:r>
      <w:proofErr w:type="gramEnd"/>
    </w:p>
    <w:p w14:paraId="4ECCAA5A" w14:textId="34DFE1D7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 xml:space="preserve">De recenser les infrastructures disponibles pour soutenir la prestation de services dans </w:t>
      </w:r>
      <w:r w:rsidR="00F51AE5">
        <w:rPr>
          <w:lang w:val="fr-FR"/>
        </w:rPr>
        <w:t xml:space="preserve">leurs </w:t>
      </w:r>
      <w:r>
        <w:rPr>
          <w:lang w:val="fr-FR"/>
        </w:rPr>
        <w:t>domaines opérationnels</w:t>
      </w:r>
      <w:r w:rsidR="005F50DC">
        <w:rPr>
          <w:lang w:val="fr-FR"/>
        </w:rPr>
        <w:t xml:space="preserve"> </w:t>
      </w:r>
      <w:proofErr w:type="gramStart"/>
      <w:r w:rsidR="005F50DC">
        <w:rPr>
          <w:lang w:val="fr-FR"/>
        </w:rPr>
        <w:t>respectifs</w:t>
      </w:r>
      <w:r>
        <w:rPr>
          <w:lang w:val="fr-FR"/>
        </w:rPr>
        <w:t>;</w:t>
      </w:r>
      <w:proofErr w:type="gramEnd"/>
    </w:p>
    <w:p w14:paraId="4ECCAA5B" w14:textId="57C57EC9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De déterminer ce que chacun</w:t>
      </w:r>
      <w:r w:rsidR="00A43B40">
        <w:rPr>
          <w:lang w:val="fr-FR"/>
        </w:rPr>
        <w:t xml:space="preserve"> </w:t>
      </w:r>
      <w:r>
        <w:rPr>
          <w:lang w:val="fr-FR"/>
        </w:rPr>
        <w:t>d</w:t>
      </w:r>
      <w:r w:rsidR="00DD1B2A">
        <w:rPr>
          <w:lang w:val="fr-FR"/>
        </w:rPr>
        <w:t>’</w:t>
      </w:r>
      <w:r>
        <w:rPr>
          <w:lang w:val="fr-FR"/>
        </w:rPr>
        <w:t xml:space="preserve">entre </w:t>
      </w:r>
      <w:r w:rsidR="00A43B40">
        <w:rPr>
          <w:lang w:val="fr-FR"/>
        </w:rPr>
        <w:t xml:space="preserve">eux </w:t>
      </w:r>
      <w:r>
        <w:rPr>
          <w:lang w:val="fr-FR"/>
        </w:rPr>
        <w:t xml:space="preserve">peut apporter au processus de transition </w:t>
      </w:r>
      <w:r w:rsidR="007A55CC">
        <w:rPr>
          <w:lang w:val="fr-FR"/>
        </w:rPr>
        <w:t xml:space="preserve">de </w:t>
      </w:r>
      <w:r>
        <w:rPr>
          <w:lang w:val="fr-FR"/>
        </w:rPr>
        <w:t xml:space="preserve">la recherche </w:t>
      </w:r>
      <w:r w:rsidR="007A55CC">
        <w:rPr>
          <w:lang w:val="fr-FR"/>
        </w:rPr>
        <w:t xml:space="preserve">à </w:t>
      </w:r>
      <w:r>
        <w:rPr>
          <w:lang w:val="fr-FR"/>
        </w:rPr>
        <w:t>l</w:t>
      </w:r>
      <w:r w:rsidR="00DD1B2A">
        <w:rPr>
          <w:lang w:val="fr-FR"/>
        </w:rPr>
        <w:t>’</w:t>
      </w:r>
      <w:r>
        <w:rPr>
          <w:lang w:val="fr-FR"/>
        </w:rPr>
        <w:t xml:space="preserve">exploitation, y compris les approches de la promotion du développement des capacités et </w:t>
      </w:r>
      <w:r w:rsidR="007A55CC">
        <w:rPr>
          <w:lang w:val="fr-FR"/>
        </w:rPr>
        <w:t>l</w:t>
      </w:r>
      <w:r>
        <w:rPr>
          <w:lang w:val="fr-FR"/>
        </w:rPr>
        <w:t xml:space="preserve">es capacités de service au niveau </w:t>
      </w:r>
      <w:proofErr w:type="gramStart"/>
      <w:r>
        <w:rPr>
          <w:lang w:val="fr-FR"/>
        </w:rPr>
        <w:t>régional;</w:t>
      </w:r>
      <w:proofErr w:type="gramEnd"/>
    </w:p>
    <w:p w14:paraId="4ECCAA5C" w14:textId="002EBD55" w:rsidR="00214A49" w:rsidRPr="006B096C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 xml:space="preserve">De promouvoir les initiatives de mobilisation des ressources en coordination avec le </w:t>
      </w:r>
      <w:proofErr w:type="gramStart"/>
      <w:r>
        <w:rPr>
          <w:lang w:val="fr-FR"/>
        </w:rPr>
        <w:t>Secrétariat;</w:t>
      </w:r>
      <w:proofErr w:type="gramEnd"/>
    </w:p>
    <w:p w14:paraId="4ECCAA5D" w14:textId="776E394A" w:rsidR="00214A49" w:rsidRPr="00214A49" w:rsidRDefault="00214A49" w:rsidP="006E095A">
      <w:pPr>
        <w:pStyle w:val="WMOIndent2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lastRenderedPageBreak/>
        <w:t>De fournir l</w:t>
      </w:r>
      <w:r w:rsidR="00DD1B2A">
        <w:rPr>
          <w:lang w:val="fr-FR"/>
        </w:rPr>
        <w:t>’</w:t>
      </w:r>
      <w:r>
        <w:rPr>
          <w:lang w:val="fr-FR"/>
        </w:rPr>
        <w:t>appui technique nécessaire aux fins de la mise en œuvre de l</w:t>
      </w:r>
      <w:r w:rsidR="00DD1B2A">
        <w:rPr>
          <w:lang w:val="fr-FR"/>
        </w:rPr>
        <w:t>’</w:t>
      </w:r>
      <w:r>
        <w:rPr>
          <w:lang w:val="fr-FR"/>
        </w:rPr>
        <w:t xml:space="preserve">Initiative </w:t>
      </w:r>
      <w:r w:rsidR="00843AB9">
        <w:rPr>
          <w:lang w:val="fr-FR"/>
        </w:rPr>
        <w:t>en faveur d</w:t>
      </w:r>
      <w:r w:rsidR="00DD1B2A">
        <w:rPr>
          <w:lang w:val="fr-FR"/>
        </w:rPr>
        <w:t>’</w:t>
      </w:r>
      <w:r w:rsidR="00843AB9">
        <w:rPr>
          <w:lang w:val="fr-FR"/>
        </w:rPr>
        <w:t>a</w:t>
      </w:r>
      <w:r>
        <w:rPr>
          <w:lang w:val="fr-FR"/>
        </w:rPr>
        <w:t>lertes précoces pour tous.</w:t>
      </w:r>
    </w:p>
    <w:p w14:paraId="4ECCAA5F" w14:textId="2F59C2EC" w:rsidR="00487F8D" w:rsidRPr="005D59DE" w:rsidRDefault="00487F8D" w:rsidP="00487F8D">
      <w:pPr>
        <w:pStyle w:val="WMOBodyText"/>
        <w:rPr>
          <w:lang w:val="fr-FR"/>
        </w:rPr>
      </w:pPr>
      <w:r>
        <w:rPr>
          <w:lang w:val="fr-FR"/>
        </w:rPr>
        <w:t xml:space="preserve">Pour </w:t>
      </w:r>
      <w:r w:rsidR="00843AB9">
        <w:rPr>
          <w:lang w:val="fr-FR"/>
        </w:rPr>
        <w:t xml:space="preserve">de </w:t>
      </w:r>
      <w:r>
        <w:rPr>
          <w:lang w:val="fr-FR"/>
        </w:rPr>
        <w:t xml:space="preserve">plus </w:t>
      </w:r>
      <w:r w:rsidR="00843AB9">
        <w:rPr>
          <w:lang w:val="fr-FR"/>
        </w:rPr>
        <w:t xml:space="preserve">amples </w:t>
      </w:r>
      <w:r>
        <w:rPr>
          <w:lang w:val="fr-FR"/>
        </w:rPr>
        <w:t xml:space="preserve">informations, voir le document </w:t>
      </w:r>
      <w:hyperlink r:id="rId17" w:history="1">
        <w:proofErr w:type="spellStart"/>
        <w:r w:rsidRPr="00D40366">
          <w:rPr>
            <w:rStyle w:val="Hyperlink"/>
            <w:lang w:val="fr-FR"/>
          </w:rPr>
          <w:t>Cg-19</w:t>
        </w:r>
        <w:proofErr w:type="spellEnd"/>
        <w:r w:rsidRPr="00D40366">
          <w:rPr>
            <w:rStyle w:val="Hyperlink"/>
            <w:lang w:val="fr-FR"/>
          </w:rPr>
          <w:t>/</w:t>
        </w:r>
        <w:proofErr w:type="spellStart"/>
        <w:r w:rsidRPr="00D40366">
          <w:rPr>
            <w:rStyle w:val="Hyperlink"/>
            <w:lang w:val="fr-FR"/>
          </w:rPr>
          <w:t>INF.4.</w:t>
        </w:r>
        <w:proofErr w:type="gramStart"/>
        <w:r w:rsidRPr="00D40366">
          <w:rPr>
            <w:rStyle w:val="Hyperlink"/>
            <w:lang w:val="fr-FR"/>
          </w:rPr>
          <w:t>4</w:t>
        </w:r>
        <w:proofErr w:type="spellEnd"/>
        <w:r w:rsidRPr="00D40366">
          <w:rPr>
            <w:rStyle w:val="Hyperlink"/>
            <w:lang w:val="fr-FR"/>
          </w:rPr>
          <w:t>.(</w:t>
        </w:r>
        <w:proofErr w:type="gramEnd"/>
        <w:r w:rsidRPr="00D40366">
          <w:rPr>
            <w:rStyle w:val="Hyperlink"/>
            <w:lang w:val="fr-FR"/>
          </w:rPr>
          <w:t>3)</w:t>
        </w:r>
      </w:hyperlink>
      <w:r>
        <w:rPr>
          <w:lang w:val="fr-FR"/>
        </w:rPr>
        <w:t>.</w:t>
      </w:r>
    </w:p>
    <w:p w14:paraId="35609DD5" w14:textId="77777777" w:rsidR="003522B8" w:rsidRPr="005D59DE" w:rsidRDefault="003522B8" w:rsidP="003522B8">
      <w:pPr>
        <w:pStyle w:val="WMOBodyText"/>
        <w:jc w:val="center"/>
        <w:rPr>
          <w:lang w:val="fr-FR"/>
        </w:rPr>
      </w:pPr>
      <w:r>
        <w:rPr>
          <w:lang w:val="fr-FR"/>
        </w:rPr>
        <w:t>_______________</w:t>
      </w:r>
    </w:p>
    <w:sectPr w:rsidR="003522B8" w:rsidRPr="005D59DE" w:rsidSect="0020095E"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6FBA" w14:textId="77777777" w:rsidR="0005288A" w:rsidRDefault="0005288A">
      <w:r>
        <w:separator/>
      </w:r>
    </w:p>
    <w:p w14:paraId="1A1BDEA1" w14:textId="77777777" w:rsidR="0005288A" w:rsidRDefault="0005288A"/>
    <w:p w14:paraId="3A3898D6" w14:textId="77777777" w:rsidR="0005288A" w:rsidRDefault="0005288A"/>
  </w:endnote>
  <w:endnote w:type="continuationSeparator" w:id="0">
    <w:p w14:paraId="0B8C51E0" w14:textId="77777777" w:rsidR="0005288A" w:rsidRDefault="0005288A">
      <w:r>
        <w:continuationSeparator/>
      </w:r>
    </w:p>
    <w:p w14:paraId="212DB73F" w14:textId="77777777" w:rsidR="0005288A" w:rsidRDefault="0005288A"/>
    <w:p w14:paraId="71DBC08E" w14:textId="77777777" w:rsidR="0005288A" w:rsidRDefault="0005288A"/>
  </w:endnote>
  <w:endnote w:type="continuationNotice" w:id="1">
    <w:p w14:paraId="6B289388" w14:textId="77777777" w:rsidR="0005288A" w:rsidRDefault="00052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33F9" w14:textId="77777777" w:rsidR="0005288A" w:rsidRDefault="0005288A">
      <w:r>
        <w:separator/>
      </w:r>
    </w:p>
  </w:footnote>
  <w:footnote w:type="continuationSeparator" w:id="0">
    <w:p w14:paraId="5C99CADF" w14:textId="77777777" w:rsidR="0005288A" w:rsidRDefault="0005288A">
      <w:r>
        <w:continuationSeparator/>
      </w:r>
    </w:p>
    <w:p w14:paraId="1308BBC2" w14:textId="77777777" w:rsidR="0005288A" w:rsidRDefault="0005288A"/>
    <w:p w14:paraId="5117C6C9" w14:textId="77777777" w:rsidR="0005288A" w:rsidRDefault="0005288A"/>
  </w:footnote>
  <w:footnote w:type="continuationNotice" w:id="1">
    <w:p w14:paraId="4D8C366E" w14:textId="77777777" w:rsidR="0005288A" w:rsidRDefault="00052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AA72" w14:textId="56B6632A" w:rsidR="003143C9" w:rsidRPr="0025213D" w:rsidRDefault="0025213D" w:rsidP="00B72444">
    <w:pPr>
      <w:pStyle w:val="Header"/>
      <w:rPr>
        <w:sz w:val="18"/>
        <w:szCs w:val="18"/>
      </w:rPr>
    </w:pPr>
    <w:r w:rsidRPr="00F01089">
      <w:rPr>
        <w:sz w:val="18"/>
        <w:szCs w:val="18"/>
        <w:lang w:val="de-DE"/>
      </w:rPr>
      <w:t>Cg-19</w:t>
    </w:r>
    <w:r w:rsidR="000B468C" w:rsidRPr="00F01089">
      <w:rPr>
        <w:sz w:val="18"/>
        <w:szCs w:val="18"/>
        <w:lang w:val="de-DE"/>
      </w:rPr>
      <w:t xml:space="preserve">/Doc. </w:t>
    </w:r>
    <w:r w:rsidR="002F7ABE">
      <w:rPr>
        <w:sz w:val="18"/>
        <w:szCs w:val="18"/>
        <w:lang w:val="de-DE"/>
      </w:rPr>
      <w:t>4.4(3)</w:t>
    </w:r>
    <w:r w:rsidR="003143C9" w:rsidRPr="00F01089">
      <w:rPr>
        <w:sz w:val="18"/>
        <w:szCs w:val="18"/>
        <w:lang w:val="de-DE"/>
      </w:rPr>
      <w:t xml:space="preserve">, </w:t>
    </w:r>
    <w:r w:rsidR="00B50875" w:rsidRPr="00D75882">
      <w:rPr>
        <w:sz w:val="18"/>
        <w:szCs w:val="18"/>
        <w:lang w:val="de-DE"/>
      </w:rPr>
      <w:t>VERSION</w:t>
    </w:r>
    <w:r w:rsidR="003143C9" w:rsidRPr="00F01089">
      <w:rPr>
        <w:sz w:val="18"/>
        <w:szCs w:val="18"/>
        <w:lang w:val="de-DE"/>
      </w:rPr>
      <w:t xml:space="preserve"> 1,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F01089">
      <w:rPr>
        <w:rStyle w:val="PageNumber"/>
        <w:sz w:val="18"/>
        <w:szCs w:val="18"/>
        <w:lang w:val="de-DE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AA73" w14:textId="77777777" w:rsidR="003F159B" w:rsidRDefault="003F159B" w:rsidP="00D314A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27D"/>
    <w:multiLevelType w:val="hybridMultilevel"/>
    <w:tmpl w:val="B060F3F2"/>
    <w:lvl w:ilvl="0" w:tplc="3910646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5BCA"/>
    <w:multiLevelType w:val="hybridMultilevel"/>
    <w:tmpl w:val="A5124E04"/>
    <w:lvl w:ilvl="0" w:tplc="77B24AF0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B03219"/>
    <w:multiLevelType w:val="hybridMultilevel"/>
    <w:tmpl w:val="CC72DE64"/>
    <w:lvl w:ilvl="0" w:tplc="2CD6717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="Verdana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06C24"/>
    <w:multiLevelType w:val="hybridMultilevel"/>
    <w:tmpl w:val="02B63948"/>
    <w:lvl w:ilvl="0" w:tplc="F946AE36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0221ED9"/>
    <w:multiLevelType w:val="hybridMultilevel"/>
    <w:tmpl w:val="8E3E6E2A"/>
    <w:lvl w:ilvl="0" w:tplc="C9622D12">
      <w:start w:val="1"/>
      <w:numFmt w:val="decimal"/>
      <w:lvlText w:val="%1)"/>
      <w:lvlJc w:val="left"/>
      <w:pPr>
        <w:ind w:left="264" w:hanging="264"/>
      </w:pPr>
      <w:rPr>
        <w:rFonts w:ascii="Verdana" w:eastAsia="Times New Roman" w:hAnsi="Verdana" w:cs="Times New Roman" w:hint="default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90A4818"/>
    <w:multiLevelType w:val="hybridMultilevel"/>
    <w:tmpl w:val="A5124E04"/>
    <w:lvl w:ilvl="0" w:tplc="FFFFFFFF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Times New Roman"/>
        <w:b w:val="0"/>
        <w:bCs w:val="0"/>
        <w:i w:val="0"/>
        <w:iCs w:val="0"/>
        <w:color w:val="231F20"/>
        <w:w w:val="10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56422456">
    <w:abstractNumId w:val="2"/>
  </w:num>
  <w:num w:numId="2" w16cid:durableId="2025983404">
    <w:abstractNumId w:val="1"/>
  </w:num>
  <w:num w:numId="3" w16cid:durableId="2027947089">
    <w:abstractNumId w:val="0"/>
  </w:num>
  <w:num w:numId="4" w16cid:durableId="1594245795">
    <w:abstractNumId w:val="4"/>
  </w:num>
  <w:num w:numId="5" w16cid:durableId="2004888313">
    <w:abstractNumId w:val="3"/>
  </w:num>
  <w:num w:numId="6" w16cid:durableId="17597207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9"/>
    <w:rsid w:val="000133EE"/>
    <w:rsid w:val="000206A8"/>
    <w:rsid w:val="0003137A"/>
    <w:rsid w:val="00041171"/>
    <w:rsid w:val="00041727"/>
    <w:rsid w:val="0004226F"/>
    <w:rsid w:val="00050F8E"/>
    <w:rsid w:val="000518BB"/>
    <w:rsid w:val="0005288A"/>
    <w:rsid w:val="000573AD"/>
    <w:rsid w:val="0006123B"/>
    <w:rsid w:val="00063149"/>
    <w:rsid w:val="00064F6B"/>
    <w:rsid w:val="00072F17"/>
    <w:rsid w:val="000806D8"/>
    <w:rsid w:val="00082C80"/>
    <w:rsid w:val="0008361F"/>
    <w:rsid w:val="00083847"/>
    <w:rsid w:val="00083C36"/>
    <w:rsid w:val="00092ACB"/>
    <w:rsid w:val="00092CAE"/>
    <w:rsid w:val="00095D7D"/>
    <w:rsid w:val="00095E48"/>
    <w:rsid w:val="000A4F1C"/>
    <w:rsid w:val="000A5F17"/>
    <w:rsid w:val="000A69BF"/>
    <w:rsid w:val="000A7C14"/>
    <w:rsid w:val="000B468C"/>
    <w:rsid w:val="000C225A"/>
    <w:rsid w:val="000C6781"/>
    <w:rsid w:val="000D0753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43ADE"/>
    <w:rsid w:val="00156F9B"/>
    <w:rsid w:val="00163BA3"/>
    <w:rsid w:val="00166B31"/>
    <w:rsid w:val="00167D54"/>
    <w:rsid w:val="00180771"/>
    <w:rsid w:val="00190854"/>
    <w:rsid w:val="001930A3"/>
    <w:rsid w:val="00195D2D"/>
    <w:rsid w:val="00196EB8"/>
    <w:rsid w:val="00197C5A"/>
    <w:rsid w:val="001A25F0"/>
    <w:rsid w:val="001A341E"/>
    <w:rsid w:val="001B0EA6"/>
    <w:rsid w:val="001B1CDF"/>
    <w:rsid w:val="001B56F4"/>
    <w:rsid w:val="001C5462"/>
    <w:rsid w:val="001C6904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20095E"/>
    <w:rsid w:val="00200DC4"/>
    <w:rsid w:val="00210BFE"/>
    <w:rsid w:val="00210D30"/>
    <w:rsid w:val="00214A49"/>
    <w:rsid w:val="00217E85"/>
    <w:rsid w:val="002204FD"/>
    <w:rsid w:val="00221020"/>
    <w:rsid w:val="002301F7"/>
    <w:rsid w:val="002308B5"/>
    <w:rsid w:val="00233C0B"/>
    <w:rsid w:val="00234A34"/>
    <w:rsid w:val="00243ED6"/>
    <w:rsid w:val="002444AC"/>
    <w:rsid w:val="0025213D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B7A7E"/>
    <w:rsid w:val="002B7AA2"/>
    <w:rsid w:val="002C30BC"/>
    <w:rsid w:val="002C5965"/>
    <w:rsid w:val="002C7A88"/>
    <w:rsid w:val="002C7AB9"/>
    <w:rsid w:val="002D06AC"/>
    <w:rsid w:val="002D232B"/>
    <w:rsid w:val="002D2759"/>
    <w:rsid w:val="002D5E00"/>
    <w:rsid w:val="002D5EBD"/>
    <w:rsid w:val="002D6DAC"/>
    <w:rsid w:val="002D77F2"/>
    <w:rsid w:val="002E261D"/>
    <w:rsid w:val="002E3FAD"/>
    <w:rsid w:val="002E4E16"/>
    <w:rsid w:val="002F099C"/>
    <w:rsid w:val="002F6DAC"/>
    <w:rsid w:val="002F7ABE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22B8"/>
    <w:rsid w:val="00352568"/>
    <w:rsid w:val="00356F73"/>
    <w:rsid w:val="00371CF1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21CA"/>
    <w:rsid w:val="003C17A5"/>
    <w:rsid w:val="003C1843"/>
    <w:rsid w:val="003D1552"/>
    <w:rsid w:val="003E381F"/>
    <w:rsid w:val="003E4046"/>
    <w:rsid w:val="003F003A"/>
    <w:rsid w:val="003F125B"/>
    <w:rsid w:val="003F159B"/>
    <w:rsid w:val="003F7B3F"/>
    <w:rsid w:val="004058AD"/>
    <w:rsid w:val="0041078D"/>
    <w:rsid w:val="00416F97"/>
    <w:rsid w:val="0043039B"/>
    <w:rsid w:val="00436197"/>
    <w:rsid w:val="00436E52"/>
    <w:rsid w:val="004423FE"/>
    <w:rsid w:val="00445C35"/>
    <w:rsid w:val="00454B41"/>
    <w:rsid w:val="0045663A"/>
    <w:rsid w:val="0046344E"/>
    <w:rsid w:val="004667E7"/>
    <w:rsid w:val="004672CF"/>
    <w:rsid w:val="00475797"/>
    <w:rsid w:val="00476D0A"/>
    <w:rsid w:val="00487F8D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5B36"/>
    <w:rsid w:val="004E6352"/>
    <w:rsid w:val="004E6460"/>
    <w:rsid w:val="004F68BF"/>
    <w:rsid w:val="004F6B46"/>
    <w:rsid w:val="0050425E"/>
    <w:rsid w:val="005075BD"/>
    <w:rsid w:val="00511999"/>
    <w:rsid w:val="005145D6"/>
    <w:rsid w:val="00521EA5"/>
    <w:rsid w:val="00525B80"/>
    <w:rsid w:val="0052770D"/>
    <w:rsid w:val="0053098F"/>
    <w:rsid w:val="00536B2E"/>
    <w:rsid w:val="00546D8E"/>
    <w:rsid w:val="00553738"/>
    <w:rsid w:val="0056646F"/>
    <w:rsid w:val="00571AE1"/>
    <w:rsid w:val="00576879"/>
    <w:rsid w:val="00581B28"/>
    <w:rsid w:val="00592267"/>
    <w:rsid w:val="0059421F"/>
    <w:rsid w:val="00596130"/>
    <w:rsid w:val="005A136D"/>
    <w:rsid w:val="005B0AE2"/>
    <w:rsid w:val="005B1F2C"/>
    <w:rsid w:val="005B5F3C"/>
    <w:rsid w:val="005C41F2"/>
    <w:rsid w:val="005C4355"/>
    <w:rsid w:val="005D03D9"/>
    <w:rsid w:val="005D1EE8"/>
    <w:rsid w:val="005D56AE"/>
    <w:rsid w:val="005D666D"/>
    <w:rsid w:val="005E28AA"/>
    <w:rsid w:val="005E3A59"/>
    <w:rsid w:val="005F50DC"/>
    <w:rsid w:val="00604802"/>
    <w:rsid w:val="00615AB0"/>
    <w:rsid w:val="00616247"/>
    <w:rsid w:val="0061778C"/>
    <w:rsid w:val="00636B90"/>
    <w:rsid w:val="0064738B"/>
    <w:rsid w:val="006508EA"/>
    <w:rsid w:val="00656232"/>
    <w:rsid w:val="00667E86"/>
    <w:rsid w:val="00670A55"/>
    <w:rsid w:val="0068392D"/>
    <w:rsid w:val="00683BE0"/>
    <w:rsid w:val="00686F60"/>
    <w:rsid w:val="00697DB5"/>
    <w:rsid w:val="006A1B33"/>
    <w:rsid w:val="006A492A"/>
    <w:rsid w:val="006B16E4"/>
    <w:rsid w:val="006B5C72"/>
    <w:rsid w:val="006C289D"/>
    <w:rsid w:val="006D02D2"/>
    <w:rsid w:val="006D0310"/>
    <w:rsid w:val="006D2009"/>
    <w:rsid w:val="006D2ADB"/>
    <w:rsid w:val="006D5576"/>
    <w:rsid w:val="006E095A"/>
    <w:rsid w:val="006E1627"/>
    <w:rsid w:val="006E4A6B"/>
    <w:rsid w:val="006E6AD5"/>
    <w:rsid w:val="006E72B4"/>
    <w:rsid w:val="006E766D"/>
    <w:rsid w:val="006F4B29"/>
    <w:rsid w:val="006F6CE9"/>
    <w:rsid w:val="00701F53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3ECF"/>
    <w:rsid w:val="00754CF7"/>
    <w:rsid w:val="0075723E"/>
    <w:rsid w:val="00757B0D"/>
    <w:rsid w:val="00761320"/>
    <w:rsid w:val="007651B1"/>
    <w:rsid w:val="00767CE1"/>
    <w:rsid w:val="00771A68"/>
    <w:rsid w:val="007744D2"/>
    <w:rsid w:val="007821F5"/>
    <w:rsid w:val="00786136"/>
    <w:rsid w:val="007A55CC"/>
    <w:rsid w:val="007A70AB"/>
    <w:rsid w:val="007B05CF"/>
    <w:rsid w:val="007C212A"/>
    <w:rsid w:val="007D5FC1"/>
    <w:rsid w:val="007E3CCE"/>
    <w:rsid w:val="007E564B"/>
    <w:rsid w:val="007E7D21"/>
    <w:rsid w:val="007E7DBD"/>
    <w:rsid w:val="007F482F"/>
    <w:rsid w:val="007F690C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460C"/>
    <w:rsid w:val="00835B42"/>
    <w:rsid w:val="00842A4E"/>
    <w:rsid w:val="00843AB9"/>
    <w:rsid w:val="00847D99"/>
    <w:rsid w:val="0085038E"/>
    <w:rsid w:val="0085230A"/>
    <w:rsid w:val="00855DCC"/>
    <w:rsid w:val="0086271D"/>
    <w:rsid w:val="0086420B"/>
    <w:rsid w:val="00864DBF"/>
    <w:rsid w:val="00865AE2"/>
    <w:rsid w:val="008663C8"/>
    <w:rsid w:val="00873875"/>
    <w:rsid w:val="0088163A"/>
    <w:rsid w:val="0089601F"/>
    <w:rsid w:val="008970B8"/>
    <w:rsid w:val="008A067B"/>
    <w:rsid w:val="008A7313"/>
    <w:rsid w:val="008A7D91"/>
    <w:rsid w:val="008B7FC7"/>
    <w:rsid w:val="008C4337"/>
    <w:rsid w:val="008C4F06"/>
    <w:rsid w:val="008E1213"/>
    <w:rsid w:val="008E1E4A"/>
    <w:rsid w:val="008E37B1"/>
    <w:rsid w:val="008F0615"/>
    <w:rsid w:val="008F103E"/>
    <w:rsid w:val="008F1FDB"/>
    <w:rsid w:val="008F36FB"/>
    <w:rsid w:val="00902EA9"/>
    <w:rsid w:val="0090427F"/>
    <w:rsid w:val="00912535"/>
    <w:rsid w:val="00920506"/>
    <w:rsid w:val="00931DEB"/>
    <w:rsid w:val="00933957"/>
    <w:rsid w:val="0093479B"/>
    <w:rsid w:val="009356FA"/>
    <w:rsid w:val="00940CB1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E2D40"/>
    <w:rsid w:val="009F005A"/>
    <w:rsid w:val="009F196A"/>
    <w:rsid w:val="009F669B"/>
    <w:rsid w:val="009F702E"/>
    <w:rsid w:val="009F7566"/>
    <w:rsid w:val="009F7F18"/>
    <w:rsid w:val="00A02A72"/>
    <w:rsid w:val="00A04974"/>
    <w:rsid w:val="00A06BFE"/>
    <w:rsid w:val="00A10F5D"/>
    <w:rsid w:val="00A1243C"/>
    <w:rsid w:val="00A135AE"/>
    <w:rsid w:val="00A1391C"/>
    <w:rsid w:val="00A14AF1"/>
    <w:rsid w:val="00A16891"/>
    <w:rsid w:val="00A22ED3"/>
    <w:rsid w:val="00A268CE"/>
    <w:rsid w:val="00A332E8"/>
    <w:rsid w:val="00A359D2"/>
    <w:rsid w:val="00A35AF5"/>
    <w:rsid w:val="00A35DDF"/>
    <w:rsid w:val="00A36CBA"/>
    <w:rsid w:val="00A43B40"/>
    <w:rsid w:val="00A44B62"/>
    <w:rsid w:val="00A45741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554B"/>
    <w:rsid w:val="00A771FD"/>
    <w:rsid w:val="00A80767"/>
    <w:rsid w:val="00A874EF"/>
    <w:rsid w:val="00A94017"/>
    <w:rsid w:val="00A95415"/>
    <w:rsid w:val="00AA3C89"/>
    <w:rsid w:val="00AA62C3"/>
    <w:rsid w:val="00AB32BD"/>
    <w:rsid w:val="00AB4723"/>
    <w:rsid w:val="00AC4CDB"/>
    <w:rsid w:val="00AC70FE"/>
    <w:rsid w:val="00AD3AA3"/>
    <w:rsid w:val="00AD4358"/>
    <w:rsid w:val="00AD7BF9"/>
    <w:rsid w:val="00AF4733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10035"/>
    <w:rsid w:val="00B15C76"/>
    <w:rsid w:val="00B165E6"/>
    <w:rsid w:val="00B235DB"/>
    <w:rsid w:val="00B40B95"/>
    <w:rsid w:val="00B424F1"/>
    <w:rsid w:val="00B447C0"/>
    <w:rsid w:val="00B50875"/>
    <w:rsid w:val="00B53E53"/>
    <w:rsid w:val="00B548A2"/>
    <w:rsid w:val="00B56934"/>
    <w:rsid w:val="00B62F03"/>
    <w:rsid w:val="00B72444"/>
    <w:rsid w:val="00B756BA"/>
    <w:rsid w:val="00B93B62"/>
    <w:rsid w:val="00B953D1"/>
    <w:rsid w:val="00B96D93"/>
    <w:rsid w:val="00BA30D0"/>
    <w:rsid w:val="00BA36B0"/>
    <w:rsid w:val="00BB0D2C"/>
    <w:rsid w:val="00BB0D32"/>
    <w:rsid w:val="00BC76B5"/>
    <w:rsid w:val="00BD5420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20A4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BDD"/>
    <w:rsid w:val="00CD0549"/>
    <w:rsid w:val="00CE0ADC"/>
    <w:rsid w:val="00CE6B3C"/>
    <w:rsid w:val="00CE7088"/>
    <w:rsid w:val="00D0328D"/>
    <w:rsid w:val="00D05E6F"/>
    <w:rsid w:val="00D20296"/>
    <w:rsid w:val="00D2231A"/>
    <w:rsid w:val="00D25188"/>
    <w:rsid w:val="00D27929"/>
    <w:rsid w:val="00D314A2"/>
    <w:rsid w:val="00D33442"/>
    <w:rsid w:val="00D40366"/>
    <w:rsid w:val="00D419C6"/>
    <w:rsid w:val="00D44BAD"/>
    <w:rsid w:val="00D45B55"/>
    <w:rsid w:val="00D664D7"/>
    <w:rsid w:val="00D7097B"/>
    <w:rsid w:val="00D72BC4"/>
    <w:rsid w:val="00D75882"/>
    <w:rsid w:val="00D815FC"/>
    <w:rsid w:val="00D8517B"/>
    <w:rsid w:val="00D919BE"/>
    <w:rsid w:val="00D91DFA"/>
    <w:rsid w:val="00DA159A"/>
    <w:rsid w:val="00DA37FD"/>
    <w:rsid w:val="00DB1AB2"/>
    <w:rsid w:val="00DC17C2"/>
    <w:rsid w:val="00DC4FDF"/>
    <w:rsid w:val="00DC66F0"/>
    <w:rsid w:val="00DD0DB5"/>
    <w:rsid w:val="00DD1B2A"/>
    <w:rsid w:val="00DD3A65"/>
    <w:rsid w:val="00DD62C6"/>
    <w:rsid w:val="00DE3B92"/>
    <w:rsid w:val="00DE48B4"/>
    <w:rsid w:val="00DE5CCD"/>
    <w:rsid w:val="00DE7137"/>
    <w:rsid w:val="00DF18E4"/>
    <w:rsid w:val="00DF7D9E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74332"/>
    <w:rsid w:val="00E802A2"/>
    <w:rsid w:val="00E8410F"/>
    <w:rsid w:val="00E85C0B"/>
    <w:rsid w:val="00E86C4E"/>
    <w:rsid w:val="00EA3493"/>
    <w:rsid w:val="00EA7089"/>
    <w:rsid w:val="00EB13D7"/>
    <w:rsid w:val="00EB1E83"/>
    <w:rsid w:val="00ED22CB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089"/>
    <w:rsid w:val="00F0267E"/>
    <w:rsid w:val="00F043DC"/>
    <w:rsid w:val="00F071B2"/>
    <w:rsid w:val="00F11B47"/>
    <w:rsid w:val="00F2412D"/>
    <w:rsid w:val="00F25D8D"/>
    <w:rsid w:val="00F3069C"/>
    <w:rsid w:val="00F3603E"/>
    <w:rsid w:val="00F42110"/>
    <w:rsid w:val="00F44CCB"/>
    <w:rsid w:val="00F45EDA"/>
    <w:rsid w:val="00F474C9"/>
    <w:rsid w:val="00F5126B"/>
    <w:rsid w:val="00F51AE5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54CC"/>
    <w:rsid w:val="00FD1A37"/>
    <w:rsid w:val="00FD4E5B"/>
    <w:rsid w:val="00FE4EE0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CCAA09"/>
  <w15:docId w15:val="{D348CEF5-9B69-4683-B93E-CDBC51AE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1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14" TargetMode="External"/><Relationship Id="rId17" Type="http://schemas.openxmlformats.org/officeDocument/2006/relationships/hyperlink" Target="https://meetings.wmo.int/Cg-19/InformationDocuments/Forms/By%20Languag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French/Forms/AllItem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French/3.%20Versions%20archiv%C3%A9es/EC-76-d03-4(1)-CDP-RECOMMENDATIONS-draft1_f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French/3.%20Versions%20archiv%C3%A9es/EC-76-d03-4(1)-CDP-RECOMMENDATIONS-draft1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2\Downloads\OMM%2046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F9F19-8144-415C-A26B-071EFD2FB0E6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187</TotalTime>
  <Pages>5</Pages>
  <Words>1338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8680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Lisa Jacobs</dc:creator>
  <cp:lastModifiedBy>Geneviève Delajod</cp:lastModifiedBy>
  <cp:revision>57</cp:revision>
  <cp:lastPrinted>2013-03-12T09:27:00Z</cp:lastPrinted>
  <dcterms:created xsi:type="dcterms:W3CDTF">2023-04-20T21:40:00Z</dcterms:created>
  <dcterms:modified xsi:type="dcterms:W3CDTF">2023-04-24T11:35:00Z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